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44546A"/>
          <w:spacing w:val="40"/>
          <w:sz w:val="30"/>
          <w:szCs w:val="30"/>
        </w:rPr>
        <w:t xml:space="preserve">CARTLY</w:t>
      </w:r>
    </w:p>
    <w:p>
      <w:pPr>
        <w:spacing w:after="100" w:before="200"/>
        <w:jc w:val="center"/>
      </w:pPr>
      <w:r>
        <w:rPr>
          <w:b/>
          <w:bCs/>
          <w:color w:val="1F3864"/>
          <w:sz w:val="52"/>
          <w:szCs w:val="52"/>
        </w:rPr>
        <w:t xml:space="preserve">Product Development Lifecycle</w:t>
      </w:r>
    </w:p>
    <w:p>
      <w:pPr>
        <w:spacing w:after="600"/>
        <w:jc w:val="center"/>
      </w:pPr>
      <w:r>
        <w:rPr>
          <w:i/>
          <w:iCs/>
          <w:color w:val="44546A"/>
          <w:sz w:val="28"/>
          <w:szCs w:val="28"/>
        </w:rPr>
        <w:t xml:space="preserve">v1.1 Addendum — Stage 3 Design Update</w:t>
      </w:r>
    </w:p>
    <w:p>
      <w:pPr>
        <w:spacing w:before="2600"/>
        <w:jc w:val="center"/>
      </w:pPr>
      <w:r>
        <w:rPr>
          <w:color w:val="44546A"/>
          <w:sz w:val="20"/>
          <w:szCs w:val="20"/>
        </w:rPr>
        <w:t xml:space="preserve">Capstone Project 01 — Autonomous Customer-Support Resolution Platform</w:t>
      </w:r>
    </w:p>
    <w:p>
      <w:pPr>
        <w:spacing w:after="40"/>
        <w:jc w:val="center"/>
      </w:pPr>
      <w:r>
        <w:rPr>
          <w:color w:val="44546A"/>
          <w:sz w:val="20"/>
          <w:szCs w:val="20"/>
        </w:rPr>
        <w:t xml:space="preserve">Version 1.1 | Post-Sprint-1 Review | July 2026</w:t>
      </w:r>
    </w:p>
    <w:p>
      <w:pPr>
        <w:spacing w:before="800"/>
        <w:jc w:val="center"/>
      </w:pPr>
      <w:r>
        <w:rPr>
          <w:b/>
          <w:bCs/>
          <w:color w:val="1F3864"/>
          <w:sz w:val="18"/>
          <w:szCs w:val="18"/>
        </w:rPr>
        <w:t xml:space="preserve">PREPARED BY</w:t>
      </w:r>
    </w:p>
    <w:p>
      <w:pPr>
        <w:jc w:val="center"/>
      </w:pPr>
      <w:r>
        <w:rPr>
          <w:sz w:val="20"/>
          <w:szCs w:val="20"/>
        </w:rPr>
        <w:t xml:space="preserve">Avishka Jindal</w:t>
      </w:r>
    </w:p>
    <w:p>
      <w:pPr>
        <w:jc w:val="center"/>
      </w:pPr>
      <w:r>
        <w:rPr>
          <w:sz w:val="20"/>
          <w:szCs w:val="20"/>
        </w:rPr>
        <w:t xml:space="preserve">Hiten Mistry</w:t>
      </w:r>
    </w:p>
    <w:p>
      <w:pPr>
        <w:jc w:val="center"/>
      </w:pPr>
      <w:r>
        <w:rPr>
          <w:sz w:val="20"/>
          <w:szCs w:val="20"/>
        </w:rPr>
        <w:t xml:space="preserve">Yash Parmar</w:t>
      </w:r>
    </w:p>
    <w:p>
      <w:r>
        <w:br w:type="page"/>
      </w:r>
    </w:p>
    <w:p>
      <w:pPr>
        <w:pStyle w:val="Heading1"/>
        <w:pBdr>
          <w:bottom w:val="single" w:color="1F3864" w:sz="6" w:space="4"/>
        </w:pBdr>
        <w:spacing w:after="200" w:before="400"/>
      </w:pPr>
      <w:r>
        <w:rPr>
          <w:b/>
          <w:bCs/>
          <w:color w:val="1F3864"/>
          <w:sz w:val="30"/>
          <w:szCs w:val="30"/>
        </w:rPr>
        <w:t xml:space="preserve">Document Control</w:t>
      </w:r>
    </w:p>
    <w:p>
      <w:pPr>
        <w:pStyle w:val="Heading2"/>
        <w:spacing w:after="120" w:before="280"/>
      </w:pPr>
      <w:r>
        <w:rPr>
          <w:b/>
          <w:bCs/>
          <w:color w:val="44546A"/>
          <w:sz w:val="24"/>
          <w:szCs w:val="24"/>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560"/>
      </w:tblGrid>
      <w:tr>
        <w:trPr>
          <w:tblHeader/>
        </w:trPr>
        <w:tc>
          <w:tcPr>
            <w:tcW w:type="dxa" w:w="1400"/>
            <w:shd w:fill="1F3864" w:color="auto" w:val="clear"/>
            <w:tcMar>
              <w:top w:type="dxa" w:w="100"/>
              <w:left w:type="dxa" w:w="120"/>
              <w:bottom w:type="dxa" w:w="100"/>
              <w:right w:type="dxa" w:w="120"/>
            </w:tcMar>
            <w:vAlign w:val="center"/>
          </w:tcPr>
          <w:p>
            <w:r>
              <w:rPr>
                <w:b/>
                <w:bCs/>
                <w:color w:val="FFFFFF"/>
                <w:sz w:val="19"/>
                <w:szCs w:val="19"/>
              </w:rPr>
              <w:t xml:space="preserve">Version</w:t>
            </w:r>
          </w:p>
        </w:tc>
        <w:tc>
          <w:tcPr>
            <w:tcW w:type="dxa" w:w="1800"/>
            <w:shd w:fill="1F3864" w:color="auto" w:val="clear"/>
            <w:tcMar>
              <w:top w:type="dxa" w:w="100"/>
              <w:left w:type="dxa" w:w="120"/>
              <w:bottom w:type="dxa" w:w="100"/>
              <w:right w:type="dxa" w:w="120"/>
            </w:tcMar>
            <w:vAlign w:val="center"/>
          </w:tcPr>
          <w:p>
            <w:r>
              <w:rPr>
                <w:b/>
                <w:bCs/>
                <w:color w:val="FFFFFF"/>
                <w:sz w:val="19"/>
                <w:szCs w:val="19"/>
              </w:rPr>
              <w:t xml:space="preserve">Date</w:t>
            </w:r>
          </w:p>
        </w:tc>
        <w:tc>
          <w:tcPr>
            <w:tcW w:type="dxa" w:w="2600"/>
            <w:shd w:fill="1F3864" w:color="auto" w:val="clear"/>
            <w:tcMar>
              <w:top w:type="dxa" w:w="100"/>
              <w:left w:type="dxa" w:w="120"/>
              <w:bottom w:type="dxa" w:w="100"/>
              <w:right w:type="dxa" w:w="120"/>
            </w:tcMar>
            <w:vAlign w:val="center"/>
          </w:tcPr>
          <w:p>
            <w:r>
              <w:rPr>
                <w:b/>
                <w:bCs/>
                <w:color w:val="FFFFFF"/>
                <w:sz w:val="19"/>
                <w:szCs w:val="19"/>
              </w:rPr>
              <w:t xml:space="preserve">Author</w:t>
            </w:r>
          </w:p>
        </w:tc>
        <w:tc>
          <w:tcPr>
            <w:tcW w:type="dxa" w:w="3560"/>
            <w:shd w:fill="1F3864" w:color="auto" w:val="clear"/>
            <w:tcMar>
              <w:top w:type="dxa" w:w="100"/>
              <w:left w:type="dxa" w:w="120"/>
              <w:bottom w:type="dxa" w:w="100"/>
              <w:right w:type="dxa" w:w="120"/>
            </w:tcMar>
            <w:vAlign w:val="center"/>
          </w:tcPr>
          <w:p>
            <w:r>
              <w:rPr>
                <w:b/>
                <w:bCs/>
                <w:color w:val="FFFFFF"/>
                <w:sz w:val="19"/>
                <w:szCs w:val="19"/>
              </w:rPr>
              <w:t xml:space="preserve">Change Summary</w:t>
            </w:r>
          </w:p>
        </w:tc>
      </w:tr>
      <w:tr>
        <w:tc>
          <w:tcPr>
            <w:tcW w:type="dxa" w:w="1400"/>
            <w:shd w:fill="FFFFFF" w:color="auto" w:val="clear"/>
            <w:tcMar>
              <w:top w:type="dxa" w:w="100"/>
              <w:left w:type="dxa" w:w="120"/>
              <w:bottom w:type="dxa" w:w="100"/>
              <w:right w:type="dxa" w:w="120"/>
            </w:tcMar>
            <w:vAlign w:val="center"/>
          </w:tcPr>
          <w:p>
            <w:r>
              <w:rPr>
                <w:b/>
                <w:bCs/>
                <w:color w:val="000000"/>
                <w:sz w:val="19"/>
                <w:szCs w:val="19"/>
              </w:rPr>
              <w:t xml:space="preserve">1.0</w:t>
            </w:r>
          </w:p>
        </w:tc>
        <w:tc>
          <w:tcPr>
            <w:tcW w:type="dxa" w:w="1800"/>
            <w:shd w:fill="FFFFFF" w:color="auto" w:val="clear"/>
            <w:tcMar>
              <w:top w:type="dxa" w:w="100"/>
              <w:left w:type="dxa" w:w="120"/>
              <w:bottom w:type="dxa" w:w="100"/>
              <w:right w:type="dxa" w:w="120"/>
            </w:tcMar>
            <w:vAlign w:val="center"/>
          </w:tcPr>
          <w:p>
            <w:r>
              <w:rPr>
                <w:b w:val="false"/>
                <w:bCs w:val="false"/>
                <w:color w:val="000000"/>
                <w:sz w:val="19"/>
                <w:szCs w:val="19"/>
              </w:rPr>
              <w:t xml:space="preserve">June 2026</w:t>
            </w:r>
          </w:p>
        </w:tc>
        <w:tc>
          <w:tcPr>
            <w:tcW w:type="dxa" w:w="2600"/>
            <w:shd w:fill="FFFFFF" w:color="auto" w:val="clear"/>
            <w:tcMar>
              <w:top w:type="dxa" w:w="100"/>
              <w:left w:type="dxa" w:w="120"/>
              <w:bottom w:type="dxa" w:w="100"/>
              <w:right w:type="dxa" w:w="120"/>
            </w:tcMar>
            <w:vAlign w:val="center"/>
          </w:tcPr>
          <w:p>
            <w:r>
              <w:rPr>
                <w:b w:val="false"/>
                <w:bCs w:val="false"/>
                <w:color w:val="000000"/>
                <w:sz w:val="19"/>
                <w:szCs w:val="19"/>
              </w:rPr>
              <w:t xml:space="preserve">AI Engineering Squad</w:t>
            </w:r>
          </w:p>
        </w:tc>
        <w:tc>
          <w:tcPr>
            <w:tcW w:type="dxa" w:w="3560"/>
            <w:shd w:fill="FFFFFF" w:color="auto" w:val="clear"/>
            <w:tcMar>
              <w:top w:type="dxa" w:w="100"/>
              <w:left w:type="dxa" w:w="120"/>
              <w:bottom w:type="dxa" w:w="100"/>
              <w:right w:type="dxa" w:w="120"/>
            </w:tcMar>
            <w:vAlign w:val="center"/>
          </w:tcPr>
          <w:p>
            <w:r>
              <w:rPr>
                <w:b w:val="false"/>
                <w:bCs w:val="false"/>
                <w:color w:val="000000"/>
                <w:sz w:val="19"/>
                <w:szCs w:val="19"/>
              </w:rPr>
              <w:t xml:space="preserve">Initial release covering Sprint 0 Stage 1 and 2 deliverables</w:t>
            </w:r>
          </w:p>
        </w:tc>
      </w:tr>
      <w:tr>
        <w:tc>
          <w:tcPr>
            <w:tcW w:type="dxa" w:w="1400"/>
            <w:shd w:fill="EEF1F6" w:color="auto" w:val="clear"/>
            <w:tcMar>
              <w:top w:type="dxa" w:w="100"/>
              <w:left w:type="dxa" w:w="120"/>
              <w:bottom w:type="dxa" w:w="100"/>
              <w:right w:type="dxa" w:w="120"/>
            </w:tcMar>
            <w:vAlign w:val="center"/>
          </w:tcPr>
          <w:p>
            <w:r>
              <w:rPr>
                <w:b/>
                <w:bCs/>
                <w:color w:val="000000"/>
                <w:sz w:val="19"/>
                <w:szCs w:val="19"/>
              </w:rPr>
              <w:t xml:space="preserve">1.1</w:t>
            </w:r>
          </w:p>
        </w:tc>
        <w:tc>
          <w:tcPr>
            <w:tcW w:type="dxa" w:w="1800"/>
            <w:shd w:fill="EEF1F6" w:color="auto" w:val="clear"/>
            <w:tcMar>
              <w:top w:type="dxa" w:w="100"/>
              <w:left w:type="dxa" w:w="120"/>
              <w:bottom w:type="dxa" w:w="100"/>
              <w:right w:type="dxa" w:w="120"/>
            </w:tcMar>
            <w:vAlign w:val="center"/>
          </w:tcPr>
          <w:p>
            <w:r>
              <w:rPr>
                <w:b w:val="false"/>
                <w:bCs w:val="false"/>
                <w:color w:val="000000"/>
                <w:sz w:val="19"/>
                <w:szCs w:val="19"/>
              </w:rPr>
              <w:t xml:space="preserve">July 2026</w:t>
            </w:r>
          </w:p>
        </w:tc>
        <w:tc>
          <w:tcPr>
            <w:tcW w:type="dxa" w:w="2600"/>
            <w:shd w:fill="EEF1F6" w:color="auto" w:val="clear"/>
            <w:tcMar>
              <w:top w:type="dxa" w:w="100"/>
              <w:left w:type="dxa" w:w="120"/>
              <w:bottom w:type="dxa" w:w="100"/>
              <w:right w:type="dxa" w:w="120"/>
            </w:tcMar>
            <w:vAlign w:val="center"/>
          </w:tcPr>
          <w:p>
            <w:r>
              <w:rPr>
                <w:b w:val="false"/>
                <w:bCs w:val="false"/>
                <w:color w:val="000000"/>
                <w:sz w:val="19"/>
                <w:szCs w:val="19"/>
              </w:rPr>
              <w:t xml:space="preserve">AI Engineering Squad</w:t>
            </w:r>
          </w:p>
        </w:tc>
        <w:tc>
          <w:tcPr>
            <w:tcW w:type="dxa" w:w="3560"/>
            <w:shd w:fill="EEF1F6" w:color="auto" w:val="clear"/>
            <w:tcMar>
              <w:top w:type="dxa" w:w="100"/>
              <w:left w:type="dxa" w:w="120"/>
              <w:bottom w:type="dxa" w:w="100"/>
              <w:right w:type="dxa" w:w="120"/>
            </w:tcMar>
            <w:vAlign w:val="center"/>
          </w:tcPr>
          <w:p>
            <w:r>
              <w:rPr>
                <w:b w:val="false"/>
                <w:bCs w:val="false"/>
                <w:color w:val="000000"/>
                <w:sz w:val="19"/>
                <w:szCs w:val="19"/>
              </w:rPr>
              <w:t xml:space="preserve">Stage 3 architecture additions post Sprint 1 review: ingestion/worker split, MCP tool layer, revised data-store choices, adopted frontier techniques, and their knock-on updates to Stages 4, 6 and 8</w:t>
            </w:r>
          </w:p>
        </w:tc>
      </w:tr>
    </w:tbl>
    <w:p>
      <w:pPr>
        <w:spacing w:after="160"/>
      </w:pPr>
    </w:p>
    <w:p>
      <w:pPr>
        <w:pStyle w:val="Heading2"/>
        <w:spacing w:after="120" w:before="280"/>
      </w:pPr>
      <w:r>
        <w:rPr>
          <w:b/>
          <w:bCs/>
          <w:color w:val="44546A"/>
          <w:sz w:val="24"/>
          <w:szCs w:val="24"/>
        </w:rPr>
        <w:t xml:space="preserve">Purpose of This Addendum</w:t>
      </w:r>
    </w:p>
    <w:p>
      <w:pPr>
        <w:spacing w:after="160" w:line="276"/>
      </w:pPr>
      <w:r>
        <w:rPr>
          <w:sz w:val="21"/>
          <w:szCs w:val="21"/>
        </w:rPr>
        <w:t xml:space="preserve">This addendum records every architecture decision made since PDLC v1.0 was locked at the end of Sprint 0. It does not restate material that hasn't changed — Stage 1 (Discover and Probe), Stage 2 (Define / PRD), Stage 5 (Data Strategy), Stage 7 (Verify) and Stage 8's service-level objectives remain governed by v1.0 as written. Sections below are additive or superseding, and each says explicitly which v1.0 section it revises.</w:t>
      </w:r>
    </w:p>
    <w:p>
      <w:pPr>
        <w:spacing w:after="160" w:line="276"/>
      </w:pPr>
      <w:r>
        <w:rPr>
          <w:sz w:val="21"/>
          <w:szCs w:val="21"/>
        </w:rPr>
        <w:t xml:space="preserve">Every specific tool, provider, and free-tier choice referenced here is documented in full — with rationale and rejected alternatives — in the companion Cartly Build Tech Stack v1.0 document. This addendum stays one level up: it records the architectural decisions those tools implement, not the tool comparison itself. Read the two together.</w:t>
      </w:r>
    </w:p>
    <w:p>
      <w:pPr>
        <w:pStyle w:val="Heading2"/>
        <w:spacing w:after="120" w:before="280"/>
      </w:pPr>
      <w:r>
        <w:rPr>
          <w:b/>
          <w:bCs/>
          <w:color w:val="44546A"/>
          <w:sz w:val="24"/>
          <w:szCs w:val="24"/>
        </w:rPr>
        <w:t xml:space="preserve">Scope of Changes</w:t>
      </w:r>
    </w:p>
    <w:p>
      <w:pPr>
        <w:spacing w:after="160" w:line="276"/>
      </w:pPr>
      <w:r>
        <w:rPr>
          <w:sz w:val="21"/>
          <w:szCs w:val="21"/>
        </w:rPr>
        <w:t xml:space="preserve">Four v1.0 stages are touched: Stage 3 (Design) receives the bulk of the revision — a request-handling topology change, a new tool-access layer, and three newly formalized agent behaviours. Stage 4 (Risk) gains one new risk and two updated mitigations. Stage 6 (Build) is revised to reflect the ingestion/worker split. Stage 8 (Operate) has its deployment topology and free-tier keep-alive requirements made concrete.</w:t>
      </w:r>
    </w:p>
    <w:p>
      <w:r>
        <w:br w:type="page"/>
      </w:r>
    </w:p>
    <w:p>
      <w:pPr>
        <w:pStyle w:val="Heading1"/>
        <w:pBdr>
          <w:bottom w:val="single" w:color="1F3864" w:sz="6" w:space="4"/>
        </w:pBdr>
        <w:spacing w:after="200" w:before="400"/>
      </w:pPr>
      <w:r>
        <w:rPr>
          <w:b/>
          <w:bCs/>
          <w:color w:val="1F3864"/>
          <w:sz w:val="30"/>
          <w:szCs w:val="30"/>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1F3864" w:sz="6" w:space="4"/>
        </w:pBdr>
        <w:spacing w:after="200" w:before="400"/>
      </w:pPr>
      <w:r>
        <w:rPr>
          <w:b/>
          <w:bCs/>
          <w:color w:val="1F3864"/>
          <w:sz w:val="30"/>
          <w:szCs w:val="30"/>
        </w:rPr>
        <w:t xml:space="preserve">Change Log Summary</w:t>
      </w:r>
    </w:p>
    <w:p>
      <w:pPr>
        <w:spacing w:after="160" w:line="276"/>
      </w:pPr>
      <w:r>
        <w:rPr>
          <w:sz w:val="21"/>
          <w:szCs w:val="21"/>
        </w:rPr>
        <w:t xml:space="preserve">A single reference table before the detail. Every row below is expanded in its relevant stage section further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600"/>
        <w:gridCol w:w="2760"/>
      </w:tblGrid>
      <w:tr>
        <w:trPr>
          <w:tblHeader/>
        </w:trPr>
        <w:tc>
          <w:tcPr>
            <w:tcW w:type="dxa" w:w="1700"/>
            <w:shd w:fill="1F3864" w:color="auto" w:val="clear"/>
            <w:tcMar>
              <w:top w:type="dxa" w:w="100"/>
              <w:left w:type="dxa" w:w="120"/>
              <w:bottom w:type="dxa" w:w="100"/>
              <w:right w:type="dxa" w:w="120"/>
            </w:tcMar>
            <w:vAlign w:val="center"/>
          </w:tcPr>
          <w:p>
            <w:r>
              <w:rPr>
                <w:b/>
                <w:bCs/>
                <w:color w:val="FFFFFF"/>
                <w:sz w:val="19"/>
                <w:szCs w:val="19"/>
              </w:rPr>
              <w:t xml:space="preserve">Area</w:t>
            </w:r>
          </w:p>
        </w:tc>
        <w:tc>
          <w:tcPr>
            <w:tcW w:type="dxa" w:w="2300"/>
            <w:shd w:fill="1F3864" w:color="auto" w:val="clear"/>
            <w:tcMar>
              <w:top w:type="dxa" w:w="100"/>
              <w:left w:type="dxa" w:w="120"/>
              <w:bottom w:type="dxa" w:w="100"/>
              <w:right w:type="dxa" w:w="120"/>
            </w:tcMar>
            <w:vAlign w:val="center"/>
          </w:tcPr>
          <w:p>
            <w:r>
              <w:rPr>
                <w:b/>
                <w:bCs/>
                <w:color w:val="FFFFFF"/>
                <w:sz w:val="19"/>
                <w:szCs w:val="19"/>
              </w:rPr>
              <w:t xml:space="preserve">v1.0</w:t>
            </w:r>
          </w:p>
        </w:tc>
        <w:tc>
          <w:tcPr>
            <w:tcW w:type="dxa" w:w="2600"/>
            <w:shd w:fill="1F3864" w:color="auto" w:val="clear"/>
            <w:tcMar>
              <w:top w:type="dxa" w:w="100"/>
              <w:left w:type="dxa" w:w="120"/>
              <w:bottom w:type="dxa" w:w="100"/>
              <w:right w:type="dxa" w:w="120"/>
            </w:tcMar>
            <w:vAlign w:val="center"/>
          </w:tcPr>
          <w:p>
            <w:r>
              <w:rPr>
                <w:b/>
                <w:bCs/>
                <w:color w:val="FFFFFF"/>
                <w:sz w:val="19"/>
                <w:szCs w:val="19"/>
              </w:rPr>
              <w:t xml:space="preserve">v1.1</w:t>
            </w:r>
          </w:p>
        </w:tc>
        <w:tc>
          <w:tcPr>
            <w:tcW w:type="dxa" w:w="2760"/>
            <w:shd w:fill="1F3864" w:color="auto" w:val="clear"/>
            <w:tcMar>
              <w:top w:type="dxa" w:w="100"/>
              <w:left w:type="dxa" w:w="120"/>
              <w:bottom w:type="dxa" w:w="100"/>
              <w:right w:type="dxa" w:w="120"/>
            </w:tcMar>
            <w:vAlign w:val="center"/>
          </w:tcPr>
          <w:p>
            <w:r>
              <w:rPr>
                <w:b/>
                <w:bCs/>
                <w:color w:val="FFFFFF"/>
                <w:sz w:val="19"/>
                <w:szCs w:val="19"/>
              </w:rPr>
              <w:t xml:space="preserve">Rationale</w:t>
            </w:r>
          </w:p>
        </w:tc>
      </w:tr>
      <w:tr>
        <w:tc>
          <w:tcPr>
            <w:tcW w:type="dxa" w:w="1700"/>
            <w:shd w:fill="FFFFFF" w:color="auto" w:val="clear"/>
            <w:tcMar>
              <w:top w:type="dxa" w:w="100"/>
              <w:left w:type="dxa" w:w="120"/>
              <w:bottom w:type="dxa" w:w="100"/>
              <w:right w:type="dxa" w:w="120"/>
            </w:tcMar>
            <w:vAlign w:val="center"/>
          </w:tcPr>
          <w:p>
            <w:r>
              <w:rPr>
                <w:b/>
                <w:bCs/>
                <w:color w:val="000000"/>
                <w:sz w:val="19"/>
                <w:szCs w:val="19"/>
              </w:rPr>
              <w:t xml:space="preserve">Vector store</w:t>
            </w:r>
          </w:p>
        </w:tc>
        <w:tc>
          <w:tcPr>
            <w:tcW w:type="dxa" w:w="2300"/>
            <w:shd w:fill="FFFFFF" w:color="auto" w:val="clear"/>
            <w:tcMar>
              <w:top w:type="dxa" w:w="100"/>
              <w:left w:type="dxa" w:w="120"/>
              <w:bottom w:type="dxa" w:w="100"/>
              <w:right w:type="dxa" w:w="120"/>
            </w:tcMar>
            <w:vAlign w:val="center"/>
          </w:tcPr>
          <w:p>
            <w:r>
              <w:rPr>
                <w:b w:val="false"/>
                <w:bCs w:val="false"/>
                <w:color w:val="000000"/>
                <w:sz w:val="19"/>
                <w:szCs w:val="19"/>
              </w:rPr>
              <w:t xml:space="preserve">ChromaDB, self-hosted</w:t>
            </w:r>
          </w:p>
        </w:tc>
        <w:tc>
          <w:tcPr>
            <w:tcW w:type="dxa" w:w="2600"/>
            <w:shd w:fill="FFFFFF" w:color="auto" w:val="clear"/>
            <w:tcMar>
              <w:top w:type="dxa" w:w="100"/>
              <w:left w:type="dxa" w:w="120"/>
              <w:bottom w:type="dxa" w:w="100"/>
              <w:right w:type="dxa" w:w="120"/>
            </w:tcMar>
            <w:vAlign w:val="center"/>
          </w:tcPr>
          <w:p>
            <w:r>
              <w:rPr>
                <w:b w:val="false"/>
                <w:bCs w:val="false"/>
                <w:color w:val="000000"/>
                <w:sz w:val="19"/>
                <w:szCs w:val="19"/>
              </w:rPr>
              <w:t xml:space="preserve">Qdrant Cloud (free tier)</w:t>
            </w:r>
          </w:p>
        </w:tc>
        <w:tc>
          <w:tcPr>
            <w:tcW w:type="dxa" w:w="2760"/>
            <w:shd w:fill="FFFFFF" w:color="auto" w:val="clear"/>
            <w:tcMar>
              <w:top w:type="dxa" w:w="100"/>
              <w:left w:type="dxa" w:w="120"/>
              <w:bottom w:type="dxa" w:w="100"/>
              <w:right w:type="dxa" w:w="120"/>
            </w:tcMar>
            <w:vAlign w:val="center"/>
          </w:tcPr>
          <w:p>
            <w:r>
              <w:rPr>
                <w:b w:val="false"/>
                <w:bCs w:val="false"/>
                <w:color w:val="000000"/>
                <w:sz w:val="19"/>
                <w:szCs w:val="19"/>
              </w:rPr>
              <w:t xml:space="preserve">Persistence risk on ephemeral hosting; stronger payload filtering for seller-scale growth</w:t>
            </w:r>
          </w:p>
        </w:tc>
      </w:tr>
      <w:tr>
        <w:tc>
          <w:tcPr>
            <w:tcW w:type="dxa" w:w="1700"/>
            <w:shd w:fill="EEF1F6" w:color="auto" w:val="clear"/>
            <w:tcMar>
              <w:top w:type="dxa" w:w="100"/>
              <w:left w:type="dxa" w:w="120"/>
              <w:bottom w:type="dxa" w:w="100"/>
              <w:right w:type="dxa" w:w="120"/>
            </w:tcMar>
            <w:vAlign w:val="center"/>
          </w:tcPr>
          <w:p>
            <w:r>
              <w:rPr>
                <w:b/>
                <w:bCs/>
                <w:color w:val="000000"/>
                <w:sz w:val="19"/>
                <w:szCs w:val="19"/>
              </w:rPr>
              <w:t xml:space="preserve">Relational DB hosting</w:t>
            </w:r>
          </w:p>
        </w:tc>
        <w:tc>
          <w:tcPr>
            <w:tcW w:type="dxa" w:w="2300"/>
            <w:shd w:fill="EEF1F6" w:color="auto" w:val="clear"/>
            <w:tcMar>
              <w:top w:type="dxa" w:w="100"/>
              <w:left w:type="dxa" w:w="120"/>
              <w:bottom w:type="dxa" w:w="100"/>
              <w:right w:type="dxa" w:w="120"/>
            </w:tcMar>
            <w:vAlign w:val="center"/>
          </w:tcPr>
          <w:p>
            <w:r>
              <w:rPr>
                <w:b w:val="false"/>
                <w:bCs w:val="false"/>
                <w:color w:val="000000"/>
                <w:sz w:val="19"/>
                <w:szCs w:val="19"/>
              </w:rPr>
              <w:t xml:space="preserve">Unspecified / Render assumed</w:t>
            </w:r>
          </w:p>
        </w:tc>
        <w:tc>
          <w:tcPr>
            <w:tcW w:type="dxa" w:w="2600"/>
            <w:shd w:fill="EEF1F6" w:color="auto" w:val="clear"/>
            <w:tcMar>
              <w:top w:type="dxa" w:w="100"/>
              <w:left w:type="dxa" w:w="120"/>
              <w:bottom w:type="dxa" w:w="100"/>
              <w:right w:type="dxa" w:w="120"/>
            </w:tcMar>
            <w:vAlign w:val="center"/>
          </w:tcPr>
          <w:p>
            <w:r>
              <w:rPr>
                <w:b w:val="false"/>
                <w:bCs w:val="false"/>
                <w:color w:val="000000"/>
                <w:sz w:val="19"/>
                <w:szCs w:val="19"/>
              </w:rPr>
              <w:t xml:space="preserve">Supabase Postgres, Supavisor pooled</w:t>
            </w:r>
          </w:p>
        </w:tc>
        <w:tc>
          <w:tcPr>
            <w:tcW w:type="dxa" w:w="2760"/>
            <w:shd w:fill="EEF1F6" w:color="auto" w:val="clear"/>
            <w:tcMar>
              <w:top w:type="dxa" w:w="100"/>
              <w:left w:type="dxa" w:w="120"/>
              <w:bottom w:type="dxa" w:w="100"/>
              <w:right w:type="dxa" w:w="120"/>
            </w:tcMar>
            <w:vAlign w:val="center"/>
          </w:tcPr>
          <w:p>
            <w:r>
              <w:rPr>
                <w:b w:val="false"/>
                <w:bCs w:val="false"/>
                <w:color w:val="000000"/>
                <w:sz w:val="19"/>
                <w:szCs w:val="19"/>
              </w:rPr>
              <w:t xml:space="preserve">Render's free Postgres hard-deletes at 30 days; Supabase has no time-based expiry</w:t>
            </w:r>
          </w:p>
        </w:tc>
      </w:tr>
      <w:tr>
        <w:tc>
          <w:tcPr>
            <w:tcW w:type="dxa" w:w="1700"/>
            <w:shd w:fill="FFFFFF" w:color="auto" w:val="clear"/>
            <w:tcMar>
              <w:top w:type="dxa" w:w="100"/>
              <w:left w:type="dxa" w:w="120"/>
              <w:bottom w:type="dxa" w:w="100"/>
              <w:right w:type="dxa" w:w="120"/>
            </w:tcMar>
            <w:vAlign w:val="center"/>
          </w:tcPr>
          <w:p>
            <w:r>
              <w:rPr>
                <w:b/>
                <w:bCs/>
                <w:color w:val="000000"/>
                <w:sz w:val="19"/>
                <w:szCs w:val="19"/>
              </w:rPr>
              <w:t xml:space="preserve">Auth</w:t>
            </w:r>
          </w:p>
        </w:tc>
        <w:tc>
          <w:tcPr>
            <w:tcW w:type="dxa" w:w="2300"/>
            <w:shd w:fill="FFFFFF" w:color="auto" w:val="clear"/>
            <w:tcMar>
              <w:top w:type="dxa" w:w="100"/>
              <w:left w:type="dxa" w:w="120"/>
              <w:bottom w:type="dxa" w:w="100"/>
              <w:right w:type="dxa" w:w="120"/>
            </w:tcMar>
            <w:vAlign w:val="center"/>
          </w:tcPr>
          <w:p>
            <w:r>
              <w:rPr>
                <w:b w:val="false"/>
                <w:bCs w:val="false"/>
                <w:color w:val="000000"/>
                <w:sz w:val="19"/>
                <w:szCs w:val="19"/>
              </w:rPr>
              <w:t xml:space="preserve">Not specified</w:t>
            </w:r>
          </w:p>
        </w:tc>
        <w:tc>
          <w:tcPr>
            <w:tcW w:type="dxa" w:w="2600"/>
            <w:shd w:fill="FFFFFF" w:color="auto" w:val="clear"/>
            <w:tcMar>
              <w:top w:type="dxa" w:w="100"/>
              <w:left w:type="dxa" w:w="120"/>
              <w:bottom w:type="dxa" w:w="100"/>
              <w:right w:type="dxa" w:w="120"/>
            </w:tcMar>
            <w:vAlign w:val="center"/>
          </w:tcPr>
          <w:p>
            <w:r>
              <w:rPr>
                <w:b w:val="false"/>
                <w:bCs w:val="false"/>
                <w:color w:val="000000"/>
                <w:sz w:val="19"/>
                <w:szCs w:val="19"/>
              </w:rPr>
              <w:t xml:space="preserve">Supabase Auth (GoTrue JWT + role claims)</w:t>
            </w:r>
          </w:p>
        </w:tc>
        <w:tc>
          <w:tcPr>
            <w:tcW w:type="dxa" w:w="2760"/>
            <w:shd w:fill="FFFFFF" w:color="auto" w:val="clear"/>
            <w:tcMar>
              <w:top w:type="dxa" w:w="100"/>
              <w:left w:type="dxa" w:w="120"/>
              <w:bottom w:type="dxa" w:w="100"/>
              <w:right w:type="dxa" w:w="120"/>
            </w:tcMar>
            <w:vAlign w:val="center"/>
          </w:tcPr>
          <w:p>
            <w:r>
              <w:rPr>
                <w:b w:val="false"/>
                <w:bCs w:val="false"/>
                <w:color w:val="000000"/>
                <w:sz w:val="19"/>
                <w:szCs w:val="19"/>
              </w:rPr>
              <w:t xml:space="preserve">Bundled with the DB; removes a hand-rolled auth surface for the viva</w:t>
            </w:r>
          </w:p>
        </w:tc>
      </w:tr>
      <w:tr>
        <w:tc>
          <w:tcPr>
            <w:tcW w:type="dxa" w:w="1700"/>
            <w:shd w:fill="EEF1F6" w:color="auto" w:val="clear"/>
            <w:tcMar>
              <w:top w:type="dxa" w:w="100"/>
              <w:left w:type="dxa" w:w="120"/>
              <w:bottom w:type="dxa" w:w="100"/>
              <w:right w:type="dxa" w:w="120"/>
            </w:tcMar>
            <w:vAlign w:val="center"/>
          </w:tcPr>
          <w:p>
            <w:r>
              <w:rPr>
                <w:b/>
                <w:bCs/>
                <w:color w:val="000000"/>
                <w:sz w:val="19"/>
                <w:szCs w:val="19"/>
              </w:rPr>
              <w:t xml:space="preserve">Cache / Queue</w:t>
            </w:r>
          </w:p>
        </w:tc>
        <w:tc>
          <w:tcPr>
            <w:tcW w:type="dxa" w:w="2300"/>
            <w:shd w:fill="EEF1F6" w:color="auto" w:val="clear"/>
            <w:tcMar>
              <w:top w:type="dxa" w:w="100"/>
              <w:left w:type="dxa" w:w="120"/>
              <w:bottom w:type="dxa" w:w="100"/>
              <w:right w:type="dxa" w:w="120"/>
            </w:tcMar>
            <w:vAlign w:val="center"/>
          </w:tcPr>
          <w:p>
            <w:r>
              <w:rPr>
                <w:b w:val="false"/>
                <w:bCs w:val="false"/>
                <w:color w:val="000000"/>
                <w:sz w:val="19"/>
                <w:szCs w:val="19"/>
              </w:rPr>
              <w:t xml:space="preserve">Redis, host unspecified</w:t>
            </w:r>
          </w:p>
        </w:tc>
        <w:tc>
          <w:tcPr>
            <w:tcW w:type="dxa" w:w="2600"/>
            <w:shd w:fill="EEF1F6" w:color="auto" w:val="clear"/>
            <w:tcMar>
              <w:top w:type="dxa" w:w="100"/>
              <w:left w:type="dxa" w:w="120"/>
              <w:bottom w:type="dxa" w:w="100"/>
              <w:right w:type="dxa" w:w="120"/>
            </w:tcMar>
            <w:vAlign w:val="center"/>
          </w:tcPr>
          <w:p>
            <w:r>
              <w:rPr>
                <w:b w:val="false"/>
                <w:bCs w:val="false"/>
                <w:color w:val="000000"/>
                <w:sz w:val="19"/>
                <w:szCs w:val="19"/>
              </w:rPr>
              <w:t xml:space="preserve">Redis on Upstash (free tier)</w:t>
            </w:r>
          </w:p>
        </w:tc>
        <w:tc>
          <w:tcPr>
            <w:tcW w:type="dxa" w:w="2760"/>
            <w:shd w:fill="EEF1F6" w:color="auto" w:val="clear"/>
            <w:tcMar>
              <w:top w:type="dxa" w:w="100"/>
              <w:left w:type="dxa" w:w="120"/>
              <w:bottom w:type="dxa" w:w="100"/>
              <w:right w:type="dxa" w:w="120"/>
            </w:tcMar>
            <w:vAlign w:val="center"/>
          </w:tcPr>
          <w:p>
            <w:r>
              <w:rPr>
                <w:b w:val="false"/>
                <w:bCs w:val="false"/>
                <w:color w:val="000000"/>
                <w:sz w:val="19"/>
                <w:szCs w:val="19"/>
              </w:rPr>
              <w:t xml:space="preserve">Render has no durable free Redis; Upstash is serverless and provider-agnostic</w:t>
            </w:r>
          </w:p>
        </w:tc>
      </w:tr>
      <w:tr>
        <w:tc>
          <w:tcPr>
            <w:tcW w:type="dxa" w:w="1700"/>
            <w:shd w:fill="FFFFFF" w:color="auto" w:val="clear"/>
            <w:tcMar>
              <w:top w:type="dxa" w:w="100"/>
              <w:left w:type="dxa" w:w="120"/>
              <w:bottom w:type="dxa" w:w="100"/>
              <w:right w:type="dxa" w:w="120"/>
            </w:tcMar>
            <w:vAlign w:val="center"/>
          </w:tcPr>
          <w:p>
            <w:r>
              <w:rPr>
                <w:b/>
                <w:bCs/>
                <w:color w:val="000000"/>
                <w:sz w:val="19"/>
                <w:szCs w:val="19"/>
              </w:rPr>
              <w:t xml:space="preserve">Request handling</w:t>
            </w:r>
          </w:p>
        </w:tc>
        <w:tc>
          <w:tcPr>
            <w:tcW w:type="dxa" w:w="2300"/>
            <w:shd w:fill="FFFFFF" w:color="auto" w:val="clear"/>
            <w:tcMar>
              <w:top w:type="dxa" w:w="100"/>
              <w:left w:type="dxa" w:w="120"/>
              <w:bottom w:type="dxa" w:w="100"/>
              <w:right w:type="dxa" w:w="120"/>
            </w:tcMar>
            <w:vAlign w:val="center"/>
          </w:tcPr>
          <w:p>
            <w:r>
              <w:rPr>
                <w:b w:val="false"/>
                <w:bCs w:val="false"/>
                <w:color w:val="000000"/>
                <w:sz w:val="19"/>
                <w:szCs w:val="19"/>
              </w:rPr>
              <w:t xml:space="preserve">Implicit synchronous processing</w:t>
            </w:r>
          </w:p>
        </w:tc>
        <w:tc>
          <w:tcPr>
            <w:tcW w:type="dxa" w:w="2600"/>
            <w:shd w:fill="FFFFFF" w:color="auto" w:val="clear"/>
            <w:tcMar>
              <w:top w:type="dxa" w:w="100"/>
              <w:left w:type="dxa" w:w="120"/>
              <w:bottom w:type="dxa" w:w="100"/>
              <w:right w:type="dxa" w:w="120"/>
            </w:tcMar>
            <w:vAlign w:val="center"/>
          </w:tcPr>
          <w:p>
            <w:r>
              <w:rPr>
                <w:b w:val="false"/>
                <w:bCs w:val="false"/>
                <w:color w:val="000000"/>
                <w:sz w:val="19"/>
                <w:szCs w:val="19"/>
              </w:rPr>
              <w:t xml:space="preserve">Explicit ticket-ingestion + worker-queue split</w:t>
            </w:r>
          </w:p>
        </w:tc>
        <w:tc>
          <w:tcPr>
            <w:tcW w:type="dxa" w:w="2760"/>
            <w:shd w:fill="FFFFFF" w:color="auto" w:val="clear"/>
            <w:tcMar>
              <w:top w:type="dxa" w:w="100"/>
              <w:left w:type="dxa" w:w="120"/>
              <w:bottom w:type="dxa" w:w="100"/>
              <w:right w:type="dxa" w:w="120"/>
            </w:tcMar>
            <w:vAlign w:val="center"/>
          </w:tcPr>
          <w:p>
            <w:r>
              <w:rPr>
                <w:b w:val="false"/>
                <w:bCs w:val="false"/>
                <w:color w:val="000000"/>
                <w:sz w:val="19"/>
                <w:szCs w:val="19"/>
              </w:rPr>
              <w:t xml:space="preserve">Decouples request latency from agent/LLM processing time; enables horizontal worker scaling</w:t>
            </w:r>
          </w:p>
        </w:tc>
      </w:tr>
      <w:tr>
        <w:tc>
          <w:tcPr>
            <w:tcW w:type="dxa" w:w="1700"/>
            <w:shd w:fill="EEF1F6" w:color="auto" w:val="clear"/>
            <w:tcMar>
              <w:top w:type="dxa" w:w="100"/>
              <w:left w:type="dxa" w:w="120"/>
              <w:bottom w:type="dxa" w:w="100"/>
              <w:right w:type="dxa" w:w="120"/>
            </w:tcMar>
            <w:vAlign w:val="center"/>
          </w:tcPr>
          <w:p>
            <w:r>
              <w:rPr>
                <w:b/>
                <w:bCs/>
                <w:color w:val="000000"/>
                <w:sz w:val="19"/>
                <w:szCs w:val="19"/>
              </w:rPr>
              <w:t xml:space="preserve">Tool invocation</w:t>
            </w:r>
          </w:p>
        </w:tc>
        <w:tc>
          <w:tcPr>
            <w:tcW w:type="dxa" w:w="2300"/>
            <w:shd w:fill="EEF1F6" w:color="auto" w:val="clear"/>
            <w:tcMar>
              <w:top w:type="dxa" w:w="100"/>
              <w:left w:type="dxa" w:w="120"/>
              <w:bottom w:type="dxa" w:w="100"/>
              <w:right w:type="dxa" w:w="120"/>
            </w:tcMar>
            <w:vAlign w:val="center"/>
          </w:tcPr>
          <w:p>
            <w:r>
              <w:rPr>
                <w:b w:val="false"/>
                <w:bCs w:val="false"/>
                <w:color w:val="000000"/>
                <w:sz w:val="19"/>
                <w:szCs w:val="19"/>
              </w:rPr>
              <w:t xml:space="preserve">Direct Python calls from agent code</w:t>
            </w:r>
          </w:p>
        </w:tc>
        <w:tc>
          <w:tcPr>
            <w:tcW w:type="dxa" w:w="2600"/>
            <w:shd w:fill="EEF1F6" w:color="auto" w:val="clear"/>
            <w:tcMar>
              <w:top w:type="dxa" w:w="100"/>
              <w:left w:type="dxa" w:w="120"/>
              <w:bottom w:type="dxa" w:w="100"/>
              <w:right w:type="dxa" w:w="120"/>
            </w:tcMar>
            <w:vAlign w:val="center"/>
          </w:tcPr>
          <w:p>
            <w:r>
              <w:rPr>
                <w:b w:val="false"/>
                <w:bCs w:val="false"/>
                <w:color w:val="000000"/>
                <w:sz w:val="19"/>
                <w:szCs w:val="19"/>
              </w:rPr>
              <w:t xml:space="preserve">MCP server (FastMCP, stdio transport) wrapping the Stage 3.8 tool set</w:t>
            </w:r>
          </w:p>
        </w:tc>
        <w:tc>
          <w:tcPr>
            <w:tcW w:type="dxa" w:w="2760"/>
            <w:shd w:fill="EEF1F6" w:color="auto" w:val="clear"/>
            <w:tcMar>
              <w:top w:type="dxa" w:w="100"/>
              <w:left w:type="dxa" w:w="120"/>
              <w:bottom w:type="dxa" w:w="100"/>
              <w:right w:type="dxa" w:w="120"/>
            </w:tcMar>
            <w:vAlign w:val="center"/>
          </w:tcPr>
          <w:p>
            <w:r>
              <w:rPr>
                <w:b w:val="false"/>
                <w:bCs w:val="false"/>
                <w:color w:val="000000"/>
                <w:sz w:val="19"/>
                <w:szCs w:val="19"/>
              </w:rPr>
              <w:t xml:space="preserve">Schema-portable tool contracts; clean mock-to-real swap path</w:t>
            </w:r>
          </w:p>
        </w:tc>
      </w:tr>
      <w:tr>
        <w:tc>
          <w:tcPr>
            <w:tcW w:type="dxa" w:w="1700"/>
            <w:shd w:fill="FFFFFF" w:color="auto" w:val="clear"/>
            <w:tcMar>
              <w:top w:type="dxa" w:w="100"/>
              <w:left w:type="dxa" w:w="120"/>
              <w:bottom w:type="dxa" w:w="100"/>
              <w:right w:type="dxa" w:w="120"/>
            </w:tcMar>
            <w:vAlign w:val="center"/>
          </w:tcPr>
          <w:p>
            <w:r>
              <w:rPr>
                <w:b/>
                <w:bCs/>
                <w:color w:val="000000"/>
                <w:sz w:val="19"/>
                <w:szCs w:val="19"/>
              </w:rPr>
              <w:t xml:space="preserve">Orchestration alternatives</w:t>
            </w:r>
          </w:p>
        </w:tc>
        <w:tc>
          <w:tcPr>
            <w:tcW w:type="dxa" w:w="2300"/>
            <w:shd w:fill="FFFFFF" w:color="auto" w:val="clear"/>
            <w:tcMar>
              <w:top w:type="dxa" w:w="100"/>
              <w:left w:type="dxa" w:w="120"/>
              <w:bottom w:type="dxa" w:w="100"/>
              <w:right w:type="dxa" w:w="120"/>
            </w:tcMar>
            <w:vAlign w:val="center"/>
          </w:tcPr>
          <w:p>
            <w:r>
              <w:rPr>
                <w:b w:val="false"/>
                <w:bCs w:val="false"/>
                <w:color w:val="000000"/>
                <w:sz w:val="19"/>
                <w:szCs w:val="19"/>
              </w:rPr>
              <w:t xml:space="preserve">CrewAI, AutoGen, sequential considered</w:t>
            </w:r>
          </w:p>
        </w:tc>
        <w:tc>
          <w:tcPr>
            <w:tcW w:type="dxa" w:w="2600"/>
            <w:shd w:fill="FFFFFF" w:color="auto" w:val="clear"/>
            <w:tcMar>
              <w:top w:type="dxa" w:w="100"/>
              <w:left w:type="dxa" w:w="120"/>
              <w:bottom w:type="dxa" w:w="100"/>
              <w:right w:type="dxa" w:w="120"/>
            </w:tcMar>
            <w:vAlign w:val="center"/>
          </w:tcPr>
          <w:p>
            <w:r>
              <w:rPr>
                <w:b w:val="false"/>
                <w:bCs w:val="false"/>
                <w:color w:val="000000"/>
                <w:sz w:val="19"/>
                <w:szCs w:val="19"/>
              </w:rPr>
              <w:t xml:space="preserve">+ A2A explicitly evaluated and deferred</w:t>
            </w:r>
          </w:p>
        </w:tc>
        <w:tc>
          <w:tcPr>
            <w:tcW w:type="dxa" w:w="2760"/>
            <w:shd w:fill="FFFFFF" w:color="auto" w:val="clear"/>
            <w:tcMar>
              <w:top w:type="dxa" w:w="100"/>
              <w:left w:type="dxa" w:w="120"/>
              <w:bottom w:type="dxa" w:w="100"/>
              <w:right w:type="dxa" w:w="120"/>
            </w:tcMar>
            <w:vAlign w:val="center"/>
          </w:tcPr>
          <w:p>
            <w:r>
              <w:rPr>
                <w:b w:val="false"/>
                <w:bCs w:val="false"/>
                <w:color w:val="000000"/>
                <w:sz w:val="19"/>
                <w:szCs w:val="19"/>
              </w:rPr>
              <w:t xml:space="preserve">Completes the “why not” record for the viva</w:t>
            </w:r>
          </w:p>
        </w:tc>
      </w:tr>
      <w:tr>
        <w:tc>
          <w:tcPr>
            <w:tcW w:type="dxa" w:w="1700"/>
            <w:shd w:fill="EEF1F6" w:color="auto" w:val="clear"/>
            <w:tcMar>
              <w:top w:type="dxa" w:w="100"/>
              <w:left w:type="dxa" w:w="120"/>
              <w:bottom w:type="dxa" w:w="100"/>
              <w:right w:type="dxa" w:w="120"/>
            </w:tcMar>
            <w:vAlign w:val="center"/>
          </w:tcPr>
          <w:p>
            <w:r>
              <w:rPr>
                <w:b/>
                <w:bCs/>
                <w:color w:val="000000"/>
                <w:sz w:val="19"/>
                <w:szCs w:val="19"/>
              </w:rPr>
              <w:t xml:space="preserve">Policy Agent retrieval</w:t>
            </w:r>
          </w:p>
        </w:tc>
        <w:tc>
          <w:tcPr>
            <w:tcW w:type="dxa" w:w="2300"/>
            <w:shd w:fill="EEF1F6" w:color="auto" w:val="clear"/>
            <w:tcMar>
              <w:top w:type="dxa" w:w="100"/>
              <w:left w:type="dxa" w:w="120"/>
              <w:bottom w:type="dxa" w:w="100"/>
              <w:right w:type="dxa" w:w="120"/>
            </w:tcMar>
            <w:vAlign w:val="center"/>
          </w:tcPr>
          <w:p>
            <w:r>
              <w:rPr>
                <w:b w:val="false"/>
                <w:bCs w:val="false"/>
                <w:color w:val="000000"/>
                <w:sz w:val="19"/>
                <w:szCs w:val="19"/>
              </w:rPr>
              <w:t xml:space="preserve">Self-RAG / CRAG named as an intention</w:t>
            </w:r>
          </w:p>
        </w:tc>
        <w:tc>
          <w:tcPr>
            <w:tcW w:type="dxa" w:w="2600"/>
            <w:shd w:fill="EEF1F6" w:color="auto" w:val="clear"/>
            <w:tcMar>
              <w:top w:type="dxa" w:w="100"/>
              <w:left w:type="dxa" w:w="120"/>
              <w:bottom w:type="dxa" w:w="100"/>
              <w:right w:type="dxa" w:w="120"/>
            </w:tcMar>
            <w:vAlign w:val="center"/>
          </w:tcPr>
          <w:p>
            <w:r>
              <w:rPr>
                <w:b w:val="false"/>
                <w:bCs w:val="false"/>
                <w:color w:val="000000"/>
                <w:sz w:val="19"/>
                <w:szCs w:val="19"/>
              </w:rPr>
              <w:t xml:space="preserve">Formalized as a conditional LangGraph edge on a retrieval-confidence score</w:t>
            </w:r>
          </w:p>
        </w:tc>
        <w:tc>
          <w:tcPr>
            <w:tcW w:type="dxa" w:w="2760"/>
            <w:shd w:fill="EEF1F6" w:color="auto" w:val="clear"/>
            <w:tcMar>
              <w:top w:type="dxa" w:w="100"/>
              <w:left w:type="dxa" w:w="120"/>
              <w:bottom w:type="dxa" w:w="100"/>
              <w:right w:type="dxa" w:w="120"/>
            </w:tcMar>
            <w:vAlign w:val="center"/>
          </w:tcPr>
          <w:p>
            <w:r>
              <w:rPr>
                <w:b w:val="false"/>
                <w:bCs w:val="false"/>
                <w:color w:val="000000"/>
                <w:sz w:val="19"/>
                <w:szCs w:val="19"/>
              </w:rPr>
              <w:t xml:space="preserve">Turns a stated intention into an implementable design</w:t>
            </w:r>
          </w:p>
        </w:tc>
      </w:tr>
      <w:tr>
        <w:tc>
          <w:tcPr>
            <w:tcW w:type="dxa" w:w="1700"/>
            <w:shd w:fill="FFFFFF" w:color="auto" w:val="clear"/>
            <w:tcMar>
              <w:top w:type="dxa" w:w="100"/>
              <w:left w:type="dxa" w:w="120"/>
              <w:bottom w:type="dxa" w:w="100"/>
              <w:right w:type="dxa" w:w="120"/>
            </w:tcMar>
            <w:vAlign w:val="center"/>
          </w:tcPr>
          <w:p>
            <w:r>
              <w:rPr>
                <w:b/>
                <w:bCs/>
                <w:color w:val="000000"/>
                <w:sz w:val="19"/>
                <w:szCs w:val="19"/>
              </w:rPr>
              <w:t xml:space="preserve">Retrieval ranking</w:t>
            </w:r>
          </w:p>
        </w:tc>
        <w:tc>
          <w:tcPr>
            <w:tcW w:type="dxa" w:w="2300"/>
            <w:shd w:fill="FFFFFF" w:color="auto" w:val="clear"/>
            <w:tcMar>
              <w:top w:type="dxa" w:w="100"/>
              <w:left w:type="dxa" w:w="120"/>
              <w:bottom w:type="dxa" w:w="100"/>
              <w:right w:type="dxa" w:w="120"/>
            </w:tcMar>
            <w:vAlign w:val="center"/>
          </w:tcPr>
          <w:p>
            <w:r>
              <w:rPr>
                <w:b w:val="false"/>
                <w:bCs w:val="false"/>
                <w:color w:val="000000"/>
                <w:sz w:val="19"/>
                <w:szCs w:val="19"/>
              </w:rPr>
              <w:t xml:space="preserve">Not specified</w:t>
            </w:r>
          </w:p>
        </w:tc>
        <w:tc>
          <w:tcPr>
            <w:tcW w:type="dxa" w:w="2600"/>
            <w:shd w:fill="FFFFFF" w:color="auto" w:val="clear"/>
            <w:tcMar>
              <w:top w:type="dxa" w:w="100"/>
              <w:left w:type="dxa" w:w="120"/>
              <w:bottom w:type="dxa" w:w="100"/>
              <w:right w:type="dxa" w:w="120"/>
            </w:tcMar>
            <w:vAlign w:val="center"/>
          </w:tcPr>
          <w:p>
            <w:r>
              <w:rPr>
                <w:b w:val="false"/>
                <w:bCs w:val="false"/>
                <w:color w:val="000000"/>
                <w:sz w:val="19"/>
                <w:szCs w:val="19"/>
              </w:rPr>
              <w:t xml:space="preserve">Optional cross-encoder reranking (bge-reranker-base)</w:t>
            </w:r>
          </w:p>
        </w:tc>
        <w:tc>
          <w:tcPr>
            <w:tcW w:type="dxa" w:w="2760"/>
            <w:shd w:fill="FFFFFF" w:color="auto" w:val="clear"/>
            <w:tcMar>
              <w:top w:type="dxa" w:w="100"/>
              <w:left w:type="dxa" w:w="120"/>
              <w:bottom w:type="dxa" w:w="100"/>
              <w:right w:type="dxa" w:w="120"/>
            </w:tcMar>
            <w:vAlign w:val="center"/>
          </w:tcPr>
          <w:p>
            <w:r>
              <w:rPr>
                <w:b w:val="false"/>
                <w:bCs w:val="false"/>
                <w:color w:val="000000"/>
                <w:sz w:val="19"/>
                <w:szCs w:val="19"/>
              </w:rPr>
              <w:t xml:space="preserve">Named lever if RAGAS context-precision underperforms</w:t>
            </w:r>
          </w:p>
        </w:tc>
      </w:tr>
      <w:tr>
        <w:tc>
          <w:tcPr>
            <w:tcW w:type="dxa" w:w="1700"/>
            <w:shd w:fill="EEF1F6" w:color="auto" w:val="clear"/>
            <w:tcMar>
              <w:top w:type="dxa" w:w="100"/>
              <w:left w:type="dxa" w:w="120"/>
              <w:bottom w:type="dxa" w:w="100"/>
              <w:right w:type="dxa" w:w="120"/>
            </w:tcMar>
            <w:vAlign w:val="center"/>
          </w:tcPr>
          <w:p>
            <w:r>
              <w:rPr>
                <w:b/>
                <w:bCs/>
                <w:color w:val="000000"/>
                <w:sz w:val="19"/>
                <w:szCs w:val="19"/>
              </w:rPr>
              <w:t xml:space="preserve">Safety Critic reject path</w:t>
            </w:r>
          </w:p>
        </w:tc>
        <w:tc>
          <w:tcPr>
            <w:tcW w:type="dxa" w:w="2300"/>
            <w:shd w:fill="EEF1F6" w:color="auto" w:val="clear"/>
            <w:tcMar>
              <w:top w:type="dxa" w:w="100"/>
              <w:left w:type="dxa" w:w="120"/>
              <w:bottom w:type="dxa" w:w="100"/>
              <w:right w:type="dxa" w:w="120"/>
            </w:tcMar>
            <w:vAlign w:val="center"/>
          </w:tcPr>
          <w:p>
            <w:r>
              <w:rPr>
                <w:b w:val="false"/>
                <w:bCs w:val="false"/>
                <w:color w:val="000000"/>
                <w:sz w:val="19"/>
                <w:szCs w:val="19"/>
              </w:rPr>
              <w:t xml:space="preserve">Immediate escalation on block</w:t>
            </w:r>
          </w:p>
        </w:tc>
        <w:tc>
          <w:tcPr>
            <w:tcW w:type="dxa" w:w="2600"/>
            <w:shd w:fill="EEF1F6" w:color="auto" w:val="clear"/>
            <w:tcMar>
              <w:top w:type="dxa" w:w="100"/>
              <w:left w:type="dxa" w:w="120"/>
              <w:bottom w:type="dxa" w:w="100"/>
              <w:right w:type="dxa" w:w="120"/>
            </w:tcMar>
            <w:vAlign w:val="center"/>
          </w:tcPr>
          <w:p>
            <w:r>
              <w:rPr>
                <w:b w:val="false"/>
                <w:bCs w:val="false"/>
                <w:color w:val="000000"/>
                <w:sz w:val="19"/>
                <w:szCs w:val="19"/>
              </w:rPr>
              <w:t xml:space="preserve">Bounded Reflexion retry: one retry to the originating agent, then escalate</w:t>
            </w:r>
          </w:p>
        </w:tc>
        <w:tc>
          <w:tcPr>
            <w:tcW w:type="dxa" w:w="2760"/>
            <w:shd w:fill="EEF1F6" w:color="auto" w:val="clear"/>
            <w:tcMar>
              <w:top w:type="dxa" w:w="100"/>
              <w:left w:type="dxa" w:w="120"/>
              <w:bottom w:type="dxa" w:w="100"/>
              <w:right w:type="dxa" w:w="120"/>
            </w:tcMar>
            <w:vAlign w:val="center"/>
          </w:tcPr>
          <w:p>
            <w:r>
              <w:rPr>
                <w:b w:val="false"/>
                <w:bCs w:val="false"/>
                <w:color w:val="000000"/>
                <w:sz w:val="19"/>
                <w:szCs w:val="19"/>
              </w:rPr>
              <w:t xml:space="preserve">Extends the evaluator-optimizer pattern; likely resolution-rate lift</w:t>
            </w:r>
          </w:p>
        </w:tc>
      </w:tr>
      <w:tr>
        <w:tc>
          <w:tcPr>
            <w:tcW w:type="dxa" w:w="1700"/>
            <w:shd w:fill="FFFFFF" w:color="auto" w:val="clear"/>
            <w:tcMar>
              <w:top w:type="dxa" w:w="100"/>
              <w:left w:type="dxa" w:w="120"/>
              <w:bottom w:type="dxa" w:w="100"/>
              <w:right w:type="dxa" w:w="120"/>
            </w:tcMar>
            <w:vAlign w:val="center"/>
          </w:tcPr>
          <w:p>
            <w:r>
              <w:rPr>
                <w:b/>
                <w:bCs/>
                <w:color w:val="000000"/>
                <w:sz w:val="19"/>
                <w:szCs w:val="19"/>
              </w:rPr>
              <w:t xml:space="preserve">Agent output format</w:t>
            </w:r>
          </w:p>
        </w:tc>
        <w:tc>
          <w:tcPr>
            <w:tcW w:type="dxa" w:w="2300"/>
            <w:shd w:fill="FFFFFF" w:color="auto" w:val="clear"/>
            <w:tcMar>
              <w:top w:type="dxa" w:w="100"/>
              <w:left w:type="dxa" w:w="120"/>
              <w:bottom w:type="dxa" w:w="100"/>
              <w:right w:type="dxa" w:w="120"/>
            </w:tcMar>
            <w:vAlign w:val="center"/>
          </w:tcPr>
          <w:p>
            <w:r>
              <w:rPr>
                <w:b w:val="false"/>
                <w:bCs w:val="false"/>
                <w:color w:val="000000"/>
                <w:sz w:val="19"/>
                <w:szCs w:val="19"/>
              </w:rPr>
              <w:t xml:space="preserve">Free-text response</w:t>
            </w:r>
          </w:p>
        </w:tc>
        <w:tc>
          <w:tcPr>
            <w:tcW w:type="dxa" w:w="2600"/>
            <w:shd w:fill="FFFFFF" w:color="auto" w:val="clear"/>
            <w:tcMar>
              <w:top w:type="dxa" w:w="100"/>
              <w:left w:type="dxa" w:w="120"/>
              <w:bottom w:type="dxa" w:w="100"/>
              <w:right w:type="dxa" w:w="120"/>
            </w:tcMar>
            <w:vAlign w:val="center"/>
          </w:tcPr>
          <w:p>
            <w:r>
              <w:rPr>
                <w:b w:val="false"/>
                <w:bCs w:val="false"/>
                <w:color w:val="000000"/>
                <w:sz w:val="19"/>
                <w:szCs w:val="19"/>
              </w:rPr>
              <w:t xml:space="preserve">Structured Pydantic payloads (A2UI-style cards) for refund confirmation / dispute escalation</w:t>
            </w:r>
          </w:p>
        </w:tc>
        <w:tc>
          <w:tcPr>
            <w:tcW w:type="dxa" w:w="2760"/>
            <w:shd w:fill="FFFFFF" w:color="auto" w:val="clear"/>
            <w:tcMar>
              <w:top w:type="dxa" w:w="100"/>
              <w:left w:type="dxa" w:w="120"/>
              <w:bottom w:type="dxa" w:w="100"/>
              <w:right w:type="dxa" w:w="120"/>
            </w:tcMar>
            <w:vAlign w:val="center"/>
          </w:tcPr>
          <w:p>
            <w:r>
              <w:rPr>
                <w:b w:val="false"/>
                <w:bCs w:val="false"/>
                <w:color w:val="000000"/>
                <w:sz w:val="19"/>
                <w:szCs w:val="19"/>
              </w:rPr>
              <w:t xml:space="preserve">Lets the frontend render an approve/reject control instead of prose</w:t>
            </w:r>
          </w:p>
        </w:tc>
      </w:tr>
      <w:tr>
        <w:tc>
          <w:tcPr>
            <w:tcW w:type="dxa" w:w="1700"/>
            <w:shd w:fill="EEF1F6" w:color="auto" w:val="clear"/>
            <w:tcMar>
              <w:top w:type="dxa" w:w="100"/>
              <w:left w:type="dxa" w:w="120"/>
              <w:bottom w:type="dxa" w:w="100"/>
              <w:right w:type="dxa" w:w="120"/>
            </w:tcMar>
            <w:vAlign w:val="center"/>
          </w:tcPr>
          <w:p>
            <w:r>
              <w:rPr>
                <w:b/>
                <w:bCs/>
                <w:color w:val="000000"/>
                <w:sz w:val="19"/>
                <w:szCs w:val="19"/>
              </w:rPr>
              <w:t xml:space="preserve">Output validation</w:t>
            </w:r>
          </w:p>
        </w:tc>
        <w:tc>
          <w:tcPr>
            <w:tcW w:type="dxa" w:w="2300"/>
            <w:shd w:fill="EEF1F6" w:color="auto" w:val="clear"/>
            <w:tcMar>
              <w:top w:type="dxa" w:w="100"/>
              <w:left w:type="dxa" w:w="120"/>
              <w:bottom w:type="dxa" w:w="100"/>
              <w:right w:type="dxa" w:w="120"/>
            </w:tcMar>
            <w:vAlign w:val="center"/>
          </w:tcPr>
          <w:p>
            <w:r>
              <w:rPr>
                <w:b w:val="false"/>
                <w:bCs w:val="false"/>
                <w:color w:val="000000"/>
                <w:sz w:val="19"/>
                <w:szCs w:val="19"/>
              </w:rPr>
              <w:t xml:space="preserve">Post-hoc Pydantic validation only</w:t>
            </w:r>
          </w:p>
        </w:tc>
        <w:tc>
          <w:tcPr>
            <w:tcW w:type="dxa" w:w="2600"/>
            <w:shd w:fill="EEF1F6" w:color="auto" w:val="clear"/>
            <w:tcMar>
              <w:top w:type="dxa" w:w="100"/>
              <w:left w:type="dxa" w:w="120"/>
              <w:bottom w:type="dxa" w:w="100"/>
              <w:right w:type="dxa" w:w="120"/>
            </w:tcMar>
            <w:vAlign w:val="center"/>
          </w:tcPr>
          <w:p>
            <w:r>
              <w:rPr>
                <w:b w:val="false"/>
                <w:bCs w:val="false"/>
                <w:color w:val="000000"/>
                <w:sz w:val="19"/>
                <w:szCs w:val="19"/>
              </w:rPr>
              <w:t xml:space="preserve">+ structured-output constraints at the LLM Gateway (JSON mode)</w:t>
            </w:r>
          </w:p>
        </w:tc>
        <w:tc>
          <w:tcPr>
            <w:tcW w:type="dxa" w:w="2760"/>
            <w:shd w:fill="EEF1F6" w:color="auto" w:val="clear"/>
            <w:tcMar>
              <w:top w:type="dxa" w:w="100"/>
              <w:left w:type="dxa" w:w="120"/>
              <w:bottom w:type="dxa" w:w="100"/>
              <w:right w:type="dxa" w:w="120"/>
            </w:tcMar>
            <w:vAlign w:val="center"/>
          </w:tcPr>
          <w:p>
            <w:r>
              <w:rPr>
                <w:b w:val="false"/>
                <w:bCs w:val="false"/>
                <w:color w:val="000000"/>
                <w:sz w:val="19"/>
                <w:szCs w:val="19"/>
              </w:rPr>
              <w:t xml:space="preserve">Rejects malformed output at generation time; cuts retry-driven token cost</w:t>
            </w:r>
          </w:p>
        </w:tc>
      </w:tr>
      <w:tr>
        <w:tc>
          <w:tcPr>
            <w:tcW w:type="dxa" w:w="1700"/>
            <w:shd w:fill="FFFFFF" w:color="auto" w:val="clear"/>
            <w:tcMar>
              <w:top w:type="dxa" w:w="100"/>
              <w:left w:type="dxa" w:w="120"/>
              <w:bottom w:type="dxa" w:w="100"/>
              <w:right w:type="dxa" w:w="120"/>
            </w:tcMar>
            <w:vAlign w:val="center"/>
          </w:tcPr>
          <w:p>
            <w:r>
              <w:rPr>
                <w:b/>
                <w:bCs/>
                <w:color w:val="000000"/>
                <w:sz w:val="19"/>
                <w:szCs w:val="19"/>
              </w:rPr>
              <w:t xml:space="preserve">Prompt optimization</w:t>
            </w:r>
          </w:p>
        </w:tc>
        <w:tc>
          <w:tcPr>
            <w:tcW w:type="dxa" w:w="2300"/>
            <w:shd w:fill="FFFFFF" w:color="auto" w:val="clear"/>
            <w:tcMar>
              <w:top w:type="dxa" w:w="100"/>
              <w:left w:type="dxa" w:w="120"/>
              <w:bottom w:type="dxa" w:w="100"/>
              <w:right w:type="dxa" w:w="120"/>
            </w:tcMar>
            <w:vAlign w:val="center"/>
          </w:tcPr>
          <w:p>
            <w:r>
              <w:rPr>
                <w:b w:val="false"/>
                <w:bCs w:val="false"/>
                <w:color w:val="000000"/>
                <w:sz w:val="19"/>
                <w:szCs w:val="19"/>
              </w:rPr>
              <w:t xml:space="preserve">DSPy only</w:t>
            </w:r>
          </w:p>
        </w:tc>
        <w:tc>
          <w:tcPr>
            <w:tcW w:type="dxa" w:w="2600"/>
            <w:shd w:fill="FFFFFF" w:color="auto" w:val="clear"/>
            <w:tcMar>
              <w:top w:type="dxa" w:w="100"/>
              <w:left w:type="dxa" w:w="120"/>
              <w:bottom w:type="dxa" w:w="100"/>
              <w:right w:type="dxa" w:w="120"/>
            </w:tcMar>
            <w:vAlign w:val="center"/>
          </w:tcPr>
          <w:p>
            <w:r>
              <w:rPr>
                <w:b w:val="false"/>
                <w:bCs w:val="false"/>
                <w:color w:val="000000"/>
                <w:sz w:val="19"/>
                <w:szCs w:val="19"/>
              </w:rPr>
              <w:t xml:space="preserve">+ GEPA / TextGrad bonus comparison</w:t>
            </w:r>
          </w:p>
        </w:tc>
        <w:tc>
          <w:tcPr>
            <w:tcW w:type="dxa" w:w="2760"/>
            <w:shd w:fill="FFFFFF" w:color="auto" w:val="clear"/>
            <w:tcMar>
              <w:top w:type="dxa" w:w="100"/>
              <w:left w:type="dxa" w:w="120"/>
              <w:bottom w:type="dxa" w:w="100"/>
              <w:right w:type="dxa" w:w="120"/>
            </w:tcMar>
            <w:vAlign w:val="center"/>
          </w:tcPr>
          <w:p>
            <w:r>
              <w:rPr>
                <w:b w:val="false"/>
                <w:bCs w:val="false"/>
                <w:color w:val="000000"/>
                <w:sz w:val="19"/>
                <w:szCs w:val="19"/>
              </w:rPr>
              <w:t xml:space="preserve">Cheap additional evidence for the viva, same golden set and metric</w:t>
            </w:r>
          </w:p>
        </w:tc>
      </w:tr>
      <w:tr>
        <w:tc>
          <w:tcPr>
            <w:tcW w:type="dxa" w:w="1700"/>
            <w:shd w:fill="EEF1F6" w:color="auto" w:val="clear"/>
            <w:tcMar>
              <w:top w:type="dxa" w:w="100"/>
              <w:left w:type="dxa" w:w="120"/>
              <w:bottom w:type="dxa" w:w="100"/>
              <w:right w:type="dxa" w:w="120"/>
            </w:tcMar>
            <w:vAlign w:val="center"/>
          </w:tcPr>
          <w:p>
            <w:r>
              <w:rPr>
                <w:b/>
                <w:bCs/>
                <w:color w:val="000000"/>
                <w:sz w:val="19"/>
                <w:szCs w:val="19"/>
              </w:rPr>
              <w:t xml:space="preserve">Deployment topology</w:t>
            </w:r>
          </w:p>
        </w:tc>
        <w:tc>
          <w:tcPr>
            <w:tcW w:type="dxa" w:w="2300"/>
            <w:shd w:fill="EEF1F6" w:color="auto" w:val="clear"/>
            <w:tcMar>
              <w:top w:type="dxa" w:w="100"/>
              <w:left w:type="dxa" w:w="120"/>
              <w:bottom w:type="dxa" w:w="100"/>
              <w:right w:type="dxa" w:w="120"/>
            </w:tcMar>
            <w:vAlign w:val="center"/>
          </w:tcPr>
          <w:p>
            <w:r>
              <w:rPr>
                <w:b w:val="false"/>
                <w:bCs w:val="false"/>
                <w:color w:val="000000"/>
                <w:sz w:val="19"/>
                <w:szCs w:val="19"/>
              </w:rPr>
              <w:t xml:space="preserve">Single free-tier web service assumed</w:t>
            </w:r>
          </w:p>
        </w:tc>
        <w:tc>
          <w:tcPr>
            <w:tcW w:type="dxa" w:w="2600"/>
            <w:shd w:fill="EEF1F6" w:color="auto" w:val="clear"/>
            <w:tcMar>
              <w:top w:type="dxa" w:w="100"/>
              <w:left w:type="dxa" w:w="120"/>
              <w:bottom w:type="dxa" w:w="100"/>
              <w:right w:type="dxa" w:w="120"/>
            </w:tcMar>
            <w:vAlign w:val="center"/>
          </w:tcPr>
          <w:p>
            <w:r>
              <w:rPr>
                <w:b w:val="false"/>
                <w:bCs w:val="false"/>
                <w:color w:val="000000"/>
                <w:sz w:val="19"/>
                <w:szCs w:val="19"/>
              </w:rPr>
              <w:t xml:space="preserve">Two stateless Render services: API and worker</w:t>
            </w:r>
          </w:p>
        </w:tc>
        <w:tc>
          <w:tcPr>
            <w:tcW w:type="dxa" w:w="2760"/>
            <w:shd w:fill="EEF1F6" w:color="auto" w:val="clear"/>
            <w:tcMar>
              <w:top w:type="dxa" w:w="100"/>
              <w:left w:type="dxa" w:w="120"/>
              <w:bottom w:type="dxa" w:w="100"/>
              <w:right w:type="dxa" w:w="120"/>
            </w:tcMar>
            <w:vAlign w:val="center"/>
          </w:tcPr>
          <w:p>
            <w:r>
              <w:rPr>
                <w:b w:val="false"/>
                <w:bCs w:val="false"/>
                <w:color w:val="000000"/>
                <w:sz w:val="19"/>
                <w:szCs w:val="19"/>
              </w:rPr>
              <w:t xml:space="preserve">Matches the ingestion/worker split; a slow worker never blocks the API</w:t>
            </w:r>
          </w:p>
        </w:tc>
      </w:tr>
    </w:tbl>
    <w:p>
      <w:r>
        <w:br w:type="page"/>
      </w:r>
    </w:p>
    <w:p>
      <w:pPr>
        <w:pStyle w:val="Heading1"/>
        <w:pBdr>
          <w:bottom w:val="single" w:color="1F3864" w:sz="6" w:space="4"/>
        </w:pBdr>
        <w:spacing w:after="200" w:before="400"/>
      </w:pPr>
      <w:r>
        <w:rPr>
          <w:b/>
          <w:bCs/>
          <w:color w:val="1F3864"/>
          <w:sz w:val="30"/>
          <w:szCs w:val="30"/>
        </w:rPr>
        <w:t xml:space="preserve">Revised Stage 3 — Design</w:t>
      </w:r>
    </w:p>
    <w:p>
      <w:pPr>
        <w:spacing w:after="160" w:line="276"/>
      </w:pPr>
      <w:r>
        <w:rPr>
          <w:sz w:val="21"/>
          <w:szCs w:val="21"/>
        </w:rPr>
        <w:t xml:space="preserve">Everything in this section supersedes the named v1.0 subsection. Unlisted Stage 3 subsections (3.6 Agent Registry's core schema, 3.7 Memory and State) are unchanged and remain governed by v1.0.</w:t>
      </w:r>
    </w:p>
    <w:p>
      <w:pPr>
        <w:pStyle w:val="Heading2"/>
        <w:spacing w:after="120" w:before="280"/>
      </w:pPr>
      <w:r>
        <w:rPr>
          <w:b/>
          <w:bCs/>
          <w:color w:val="44546A"/>
          <w:sz w:val="24"/>
          <w:szCs w:val="24"/>
        </w:rPr>
        <w:t xml:space="preserve">3.1 System Architecture Overview (revised)</w:t>
      </w:r>
    </w:p>
    <w:p>
      <w:pPr>
        <w:spacing w:after="160" w:line="276"/>
      </w:pPr>
      <w:r>
        <w:rPr>
          <w:sz w:val="21"/>
          <w:szCs w:val="21"/>
        </w:rPr>
        <w:t xml:space="preserve">The v1.0 architecture described a ticket passing through triage, dispatch, and a quality gate without specifying the request-handling topology underneath. That topology is now explicit: a ticket submitted to the API is written to Postgres and pushed onto a Redis queue, and the API acknowledges immediately (202 Accepted) rather than waiting on the resolution. A separate worker process consumes the queue, builds a LangGraph state graph for that ticket, and executes it to completion or timeout — Triage → specialist agent (reaching its tools through the MCP layer, see 3.9) → Safety Critic, with a bounded retry back to the specialist on rejection (see 3.11) → resolve or escalate. The result is written back to Postgres and pushed to the customer widget or ops dashboard over the existing WebSocket channel.</w:t>
      </w:r>
    </w:p>
    <w:p>
      <w:pPr>
        <w:spacing w:after="160" w:line="276"/>
      </w:pPr>
      <w:r>
        <w:rPr>
          <w:sz w:val="21"/>
          <w:szCs w:val="21"/>
        </w:rPr>
        <w:t xml:space="preserve">This decouples ticket-arrival rate from ticket-processing time — the two are governed by different constraints (API request volume vs. LLM/agent call latency) and coupling them, as an inline synchronous design would, ties API responsiveness to the slowest agent call in the chain. Processing throughput now scales by adding worker replicas, independent of API replica count.</w:t>
      </w:r>
    </w:p>
    <w:p>
      <w:pPr>
        <w:pStyle w:val="Heading2"/>
        <w:spacing w:after="120" w:before="280"/>
      </w:pPr>
      <w:r>
        <w:rPr>
          <w:b/>
          <w:bCs/>
          <w:color w:val="44546A"/>
          <w:sz w:val="24"/>
          <w:szCs w:val="24"/>
        </w:rPr>
        <w:t xml:space="preserve">3.3 Orchestration Decision Record (revised — one row added)</w:t>
      </w:r>
    </w:p>
    <w:p>
      <w:pPr>
        <w:spacing w:after="160" w:line="276"/>
      </w:pPr>
      <w:r>
        <w:rPr>
          <w:sz w:val="21"/>
          <w:szCs w:val="21"/>
        </w:rPr>
        <w:t xml:space="preserve">The pattern table from v1.0 is unchanged. One additional pattern is now formally recorded as evaluated and deferred, closing a gap the v1.0 record left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400"/>
        <w:gridCol w:w="3860"/>
      </w:tblGrid>
      <w:tr>
        <w:trPr>
          <w:tblHeader/>
        </w:trPr>
        <w:tc>
          <w:tcPr>
            <w:tcW w:type="dxa" w:w="1500"/>
            <w:shd w:fill="1F3864" w:color="auto" w:val="clear"/>
            <w:tcMar>
              <w:top w:type="dxa" w:w="100"/>
              <w:left w:type="dxa" w:w="120"/>
              <w:bottom w:type="dxa" w:w="100"/>
              <w:right w:type="dxa" w:w="120"/>
            </w:tcMar>
            <w:vAlign w:val="center"/>
          </w:tcPr>
          <w:p>
            <w:r>
              <w:rPr>
                <w:b/>
                <w:bCs/>
                <w:color w:val="FFFFFF"/>
                <w:sz w:val="19"/>
                <w:szCs w:val="19"/>
              </w:rPr>
              <w:t xml:space="preserve">Pattern</w:t>
            </w:r>
          </w:p>
        </w:tc>
        <w:tc>
          <w:tcPr>
            <w:tcW w:type="dxa" w:w="2600"/>
            <w:shd w:fill="1F3864" w:color="auto" w:val="clear"/>
            <w:tcMar>
              <w:top w:type="dxa" w:w="100"/>
              <w:left w:type="dxa" w:w="120"/>
              <w:bottom w:type="dxa" w:w="100"/>
              <w:right w:type="dxa" w:w="120"/>
            </w:tcMar>
            <w:vAlign w:val="center"/>
          </w:tcPr>
          <w:p>
            <w:r>
              <w:rPr>
                <w:b/>
                <w:bCs/>
                <w:color w:val="FFFFFF"/>
                <w:sz w:val="19"/>
                <w:szCs w:val="19"/>
              </w:rPr>
              <w:t xml:space="preserve">Description</w:t>
            </w:r>
          </w:p>
        </w:tc>
        <w:tc>
          <w:tcPr>
            <w:tcW w:type="dxa" w:w="1400"/>
            <w:shd w:fill="1F3864" w:color="auto" w:val="clear"/>
            <w:tcMar>
              <w:top w:type="dxa" w:w="100"/>
              <w:left w:type="dxa" w:w="120"/>
              <w:bottom w:type="dxa" w:w="100"/>
              <w:right w:type="dxa" w:w="120"/>
            </w:tcMar>
            <w:vAlign w:val="center"/>
          </w:tcPr>
          <w:p>
            <w:r>
              <w:rPr>
                <w:b/>
                <w:bCs/>
                <w:color w:val="FFFFFF"/>
                <w:sz w:val="19"/>
                <w:szCs w:val="19"/>
              </w:rPr>
              <w:t xml:space="preserve">Decision</w:t>
            </w:r>
          </w:p>
        </w:tc>
        <w:tc>
          <w:tcPr>
            <w:tcW w:type="dxa" w:w="3860"/>
            <w:shd w:fill="1F3864" w:color="auto" w:val="clear"/>
            <w:tcMar>
              <w:top w:type="dxa" w:w="100"/>
              <w:left w:type="dxa" w:w="120"/>
              <w:bottom w:type="dxa" w:w="100"/>
              <w:right w:type="dxa" w:w="120"/>
            </w:tcMar>
            <w:vAlign w:val="center"/>
          </w:tcPr>
          <w:p>
            <w:r>
              <w:rPr>
                <w:b/>
                <w:bCs/>
                <w:color w:val="FFFFFF"/>
                <w:sz w:val="19"/>
                <w:szCs w:val="19"/>
              </w:rPr>
              <w:t xml:space="preserve">Rationale</w:t>
            </w:r>
          </w:p>
        </w:tc>
      </w:tr>
      <w:tr>
        <w:tc>
          <w:tcPr>
            <w:tcW w:type="dxa" w:w="1500"/>
            <w:shd w:fill="FFFFFF" w:color="auto" w:val="clear"/>
            <w:tcMar>
              <w:top w:type="dxa" w:w="100"/>
              <w:left w:type="dxa" w:w="120"/>
              <w:bottom w:type="dxa" w:w="100"/>
              <w:right w:type="dxa" w:w="120"/>
            </w:tcMar>
            <w:vAlign w:val="center"/>
          </w:tcPr>
          <w:p>
            <w:r>
              <w:rPr>
                <w:b/>
                <w:bCs/>
                <w:color w:val="000000"/>
                <w:sz w:val="19"/>
                <w:szCs w:val="19"/>
              </w:rPr>
              <w:t xml:space="preserve">A2A (Agent2Agent)</w:t>
            </w:r>
          </w:p>
        </w:tc>
        <w:tc>
          <w:tcPr>
            <w:tcW w:type="dxa" w:w="2600"/>
            <w:shd w:fill="FFFFFF" w:color="auto" w:val="clear"/>
            <w:tcMar>
              <w:top w:type="dxa" w:w="100"/>
              <w:left w:type="dxa" w:w="120"/>
              <w:bottom w:type="dxa" w:w="100"/>
              <w:right w:type="dxa" w:w="120"/>
            </w:tcMar>
            <w:vAlign w:val="center"/>
          </w:tcPr>
          <w:p>
            <w:r>
              <w:rPr>
                <w:b w:val="false"/>
                <w:bCs w:val="false"/>
                <w:color w:val="000000"/>
                <w:sz w:val="19"/>
                <w:szCs w:val="19"/>
              </w:rPr>
              <w:t xml:space="preserve">A standard for agents to discover and call other agents across frameworks and vendors, using a JSON agent card over HTTP</w:t>
            </w:r>
          </w:p>
        </w:tc>
        <w:tc>
          <w:tcPr>
            <w:tcW w:type="dxa" w:w="1400"/>
            <w:shd w:fill="FFFFFF" w:color="auto" w:val="clear"/>
            <w:tcMar>
              <w:top w:type="dxa" w:w="100"/>
              <w:left w:type="dxa" w:w="120"/>
              <w:bottom w:type="dxa" w:w="100"/>
              <w:right w:type="dxa" w:w="120"/>
            </w:tcMar>
            <w:vAlign w:val="center"/>
          </w:tcPr>
          <w:p>
            <w:r>
              <w:rPr>
                <w:b w:val="false"/>
                <w:bCs w:val="false"/>
                <w:color w:val="000000"/>
                <w:sz w:val="19"/>
                <w:szCs w:val="19"/>
              </w:rPr>
              <w:t xml:space="preserve">EVALUATED — DEFERRED</w:t>
            </w:r>
          </w:p>
        </w:tc>
        <w:tc>
          <w:tcPr>
            <w:tcW w:type="dxa" w:w="3860"/>
            <w:shd w:fill="FFFFFF" w:color="auto" w:val="clear"/>
            <w:tcMar>
              <w:top w:type="dxa" w:w="100"/>
              <w:left w:type="dxa" w:w="120"/>
              <w:bottom w:type="dxa" w:w="100"/>
              <w:right w:type="dxa" w:w="120"/>
            </w:tcMar>
            <w:vAlign w:val="center"/>
          </w:tcPr>
          <w:p>
            <w:r>
              <w:rPr>
                <w:b w:val="false"/>
                <w:bCs w:val="false"/>
                <w:color w:val="000000"/>
                <w:sz w:val="19"/>
                <w:szCs w:val="19"/>
              </w:rPr>
              <w:t xml:space="preserve">A2A solves cross-vendor, cross-framework agent interoperability. Cartly's specialists are LangGraph nodes in one team's codebase, sharing per-ticket state through the graph's in-memory state object — there is no independent-ownership or independent-scaling need A2A is built for. Revisit only if a specialist agent needs to become an independently owned service outside this team's repository.</w:t>
            </w:r>
          </w:p>
        </w:tc>
      </w:tr>
    </w:tbl>
    <w:p>
      <w:pPr>
        <w:pStyle w:val="Heading2"/>
        <w:spacing w:after="120" w:before="280"/>
      </w:pPr>
      <w:r>
        <w:rPr>
          <w:b/>
          <w:bCs/>
          <w:color w:val="44546A"/>
          <w:sz w:val="24"/>
          <w:szCs w:val="24"/>
        </w:rPr>
        <w:t xml:space="preserve">3.4 LLM Gateway Design (revised — one capability added)</w:t>
      </w:r>
    </w:p>
    <w:p>
      <w:pPr>
        <w:spacing w:after="160" w:line="276"/>
      </w:pPr>
      <w:r>
        <w:rPr>
          <w:sz w:val="21"/>
          <w:szCs w:val="21"/>
        </w:rPr>
        <w:t xml:space="preserve">LiteLLM's role and the virtual-tier config pattern from v1.0 are unchanged. One capability is added: every agent call now requests a constrained JSON response (LiteLLM's response_format / JSON-mode passthrough to the underlying provider) matching that agent's Stage 3.6 output schema, rather than relying solely on post-hoc Pydantic validation of free-form text. Malformed output is rejected at generation time — the model call itself fails fast — instead of surfacing as a downstream validation error after a wasted call.</w:t>
      </w:r>
    </w:p>
    <w:p>
      <w:pPr>
        <w:pStyle w:val="Heading2"/>
        <w:spacing w:after="120" w:before="280"/>
      </w:pPr>
      <w:r>
        <w:rPr>
          <w:b/>
          <w:bCs/>
          <w:color w:val="44546A"/>
          <w:sz w:val="24"/>
          <w:szCs w:val="24"/>
        </w:rPr>
        <w:t xml:space="preserve">3.6 Agent Registry (revised — one entry added)</w:t>
      </w:r>
    </w:p>
    <w:p>
      <w:pPr>
        <w:spacing w:after="160" w:line="276"/>
      </w:pPr>
      <w:r>
        <w:rPr>
          <w:sz w:val="21"/>
          <w:szCs w:val="21"/>
        </w:rPr>
        <w:t xml:space="preserve">The core registry schema (agent_id, version, input schema, output schema) from v1.0 is unchanged. One infrastructure entry is added — not an agent, but a contract holder every specialist agent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100"/>
        <w:gridCol w:w="2860"/>
      </w:tblGrid>
      <w:tr>
        <w:trPr>
          <w:tblHeader/>
        </w:trPr>
        <w:tc>
          <w:tcPr>
            <w:tcW w:type="dxa" w:w="2200"/>
            <w:shd w:fill="1F3864" w:color="auto" w:val="clear"/>
            <w:tcMar>
              <w:top w:type="dxa" w:w="100"/>
              <w:left w:type="dxa" w:w="120"/>
              <w:bottom w:type="dxa" w:w="100"/>
              <w:right w:type="dxa" w:w="120"/>
            </w:tcMar>
            <w:vAlign w:val="center"/>
          </w:tcPr>
          <w:p>
            <w:r>
              <w:rPr>
                <w:b/>
                <w:bCs/>
                <w:color w:val="FFFFFF"/>
                <w:sz w:val="19"/>
                <w:szCs w:val="19"/>
              </w:rPr>
              <w:t xml:space="preserve">Component ID</w:t>
            </w:r>
          </w:p>
        </w:tc>
        <w:tc>
          <w:tcPr>
            <w:tcW w:type="dxa" w:w="1200"/>
            <w:shd w:fill="1F3864" w:color="auto" w:val="clear"/>
            <w:tcMar>
              <w:top w:type="dxa" w:w="100"/>
              <w:left w:type="dxa" w:w="120"/>
              <w:bottom w:type="dxa" w:w="100"/>
              <w:right w:type="dxa" w:w="120"/>
            </w:tcMar>
            <w:vAlign w:val="center"/>
          </w:tcPr>
          <w:p>
            <w:r>
              <w:rPr>
                <w:b/>
                <w:bCs/>
                <w:color w:val="FFFFFF"/>
                <w:sz w:val="19"/>
                <w:szCs w:val="19"/>
              </w:rPr>
              <w:t xml:space="preserve">Version</w:t>
            </w:r>
          </w:p>
        </w:tc>
        <w:tc>
          <w:tcPr>
            <w:tcW w:type="dxa" w:w="3100"/>
            <w:shd w:fill="1F3864" w:color="auto" w:val="clear"/>
            <w:tcMar>
              <w:top w:type="dxa" w:w="100"/>
              <w:left w:type="dxa" w:w="120"/>
              <w:bottom w:type="dxa" w:w="100"/>
              <w:right w:type="dxa" w:w="120"/>
            </w:tcMar>
            <w:vAlign w:val="center"/>
          </w:tcPr>
          <w:p>
            <w:r>
              <w:rPr>
                <w:b/>
                <w:bCs/>
                <w:color w:val="FFFFFF"/>
                <w:sz w:val="19"/>
                <w:szCs w:val="19"/>
              </w:rPr>
              <w:t xml:space="preserve">Exposes</w:t>
            </w:r>
          </w:p>
        </w:tc>
        <w:tc>
          <w:tcPr>
            <w:tcW w:type="dxa" w:w="2860"/>
            <w:shd w:fill="1F3864" w:color="auto" w:val="clear"/>
            <w:tcMar>
              <w:top w:type="dxa" w:w="100"/>
              <w:left w:type="dxa" w:w="120"/>
              <w:bottom w:type="dxa" w:w="100"/>
              <w:right w:type="dxa" w:w="120"/>
            </w:tcMar>
            <w:vAlign w:val="center"/>
          </w:tcPr>
          <w:p>
            <w:r>
              <w:rPr>
                <w:b/>
                <w:bCs/>
                <w:color w:val="FFFFFF"/>
                <w:sz w:val="19"/>
                <w:szCs w:val="19"/>
              </w:rPr>
              <w:t xml:space="preserve">Notes</w:t>
            </w:r>
          </w:p>
        </w:tc>
      </w:tr>
      <w:tr>
        <w:tc>
          <w:tcPr>
            <w:tcW w:type="dxa" w:w="2200"/>
            <w:shd w:fill="FFFFFF" w:color="auto" w:val="clear"/>
            <w:tcMar>
              <w:top w:type="dxa" w:w="100"/>
              <w:left w:type="dxa" w:w="120"/>
              <w:bottom w:type="dxa" w:w="100"/>
              <w:right w:type="dxa" w:w="120"/>
            </w:tcMar>
            <w:vAlign w:val="center"/>
          </w:tcPr>
          <w:p>
            <w:r>
              <w:rPr>
                <w:b/>
                <w:bCs/>
                <w:color w:val="000000"/>
                <w:sz w:val="19"/>
                <w:szCs w:val="19"/>
              </w:rPr>
              <w:t xml:space="preserve">mcp_tool_server</w:t>
            </w:r>
          </w:p>
        </w:tc>
        <w:tc>
          <w:tcPr>
            <w:tcW w:type="dxa" w:w="1200"/>
            <w:shd w:fill="FFFFFF" w:color="auto" w:val="clear"/>
            <w:tcMar>
              <w:top w:type="dxa" w:w="100"/>
              <w:left w:type="dxa" w:w="120"/>
              <w:bottom w:type="dxa" w:w="100"/>
              <w:right w:type="dxa" w:w="120"/>
            </w:tcMar>
            <w:vAlign w:val="center"/>
          </w:tcPr>
          <w:p>
            <w:r>
              <w:rPr>
                <w:b w:val="false"/>
                <w:bCs w:val="false"/>
                <w:color w:val="000000"/>
                <w:sz w:val="19"/>
                <w:szCs w:val="19"/>
              </w:rPr>
              <w:t xml:space="preserve">v1.0</w:t>
            </w:r>
          </w:p>
        </w:tc>
        <w:tc>
          <w:tcPr>
            <w:tcW w:type="dxa" w:w="3100"/>
            <w:shd w:fill="FFFFFF" w:color="auto" w:val="clear"/>
            <w:tcMar>
              <w:top w:type="dxa" w:w="100"/>
              <w:left w:type="dxa" w:w="120"/>
              <w:bottom w:type="dxa" w:w="100"/>
              <w:right w:type="dxa" w:w="120"/>
            </w:tcMar>
            <w:vAlign w:val="center"/>
          </w:tcPr>
          <w:p>
            <w:r>
              <w:rPr>
                <w:b w:val="false"/>
                <w:bCs w:val="false"/>
                <w:color w:val="000000"/>
                <w:sz w:val="19"/>
                <w:szCs w:val="19"/>
              </w:rPr>
              <w:t xml:space="preserve">order_lookup, refund_eligibility_check, refund_action, policy_retrieval, human_handoff, crm_update, and optionally rerank_policy_chunks</w:t>
            </w:r>
          </w:p>
        </w:tc>
        <w:tc>
          <w:tcPr>
            <w:tcW w:type="dxa" w:w="2860"/>
            <w:shd w:fill="FFFFFF" w:color="auto" w:val="clear"/>
            <w:tcMar>
              <w:top w:type="dxa" w:w="100"/>
              <w:left w:type="dxa" w:w="120"/>
              <w:bottom w:type="dxa" w:w="100"/>
              <w:right w:type="dxa" w:w="120"/>
            </w:tcMar>
            <w:vAlign w:val="center"/>
          </w:tcPr>
          <w:p>
            <w:r>
              <w:rPr>
                <w:b w:val="false"/>
                <w:bCs w:val="false"/>
                <w:color w:val="000000"/>
                <w:sz w:val="19"/>
                <w:szCs w:val="19"/>
              </w:rPr>
              <w:t xml:space="preserve">FastMCP server, stdio transport, colocated in the worker process. See 3.9 for the tool specification addition.</w:t>
            </w:r>
          </w:p>
        </w:tc>
      </w:tr>
    </w:tbl>
    <w:p>
      <w:pPr>
        <w:pStyle w:val="Heading2"/>
        <w:spacing w:after="120" w:before="280"/>
      </w:pPr>
      <w:r>
        <w:rPr>
          <w:b/>
          <w:bCs/>
          <w:color w:val="44546A"/>
          <w:sz w:val="24"/>
          <w:szCs w:val="24"/>
        </w:rPr>
        <w:t xml:space="preserve">3.8 Tool Specifications (revised)</w:t>
      </w:r>
    </w:p>
    <w:p>
      <w:pPr>
        <w:spacing w:after="160" w:line="276"/>
      </w:pPr>
      <w:r>
        <w:rPr>
          <w:sz w:val="21"/>
          <w:szCs w:val="21"/>
        </w:rPr>
        <w:t xml:space="preserve">The Stage 3.8 tool set (order_lookup, refund_eligibility_check, refund_action, policy_retrieval, human_handoff, crm_update) is unchanged in its input/output contracts. What changes is how agents reach these tools: every tool is now served from a single MCP server rather than imported as bare Python functions into agent code. Agents obtain tools through a MultiServerMCPClient configured for stdio transport at worker startup; the MCP layer converts each tool into a LangChain-compatible object automatically. One new optional tool is added to the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1F3864" w:color="auto" w:val="clear"/>
            <w:tcMar>
              <w:top w:type="dxa" w:w="100"/>
              <w:left w:type="dxa" w:w="120"/>
              <w:bottom w:type="dxa" w:w="100"/>
              <w:right w:type="dxa" w:w="120"/>
            </w:tcMar>
            <w:vAlign w:val="center"/>
          </w:tcPr>
          <w:p>
            <w:r>
              <w:rPr>
                <w:b/>
                <w:bCs/>
                <w:color w:val="FFFFFF"/>
                <w:sz w:val="19"/>
                <w:szCs w:val="19"/>
              </w:rPr>
              <w:t xml:space="preserve">Tool Name</w:t>
            </w:r>
          </w:p>
        </w:tc>
        <w:tc>
          <w:tcPr>
            <w:tcW w:type="dxa" w:w="3400"/>
            <w:shd w:fill="1F3864" w:color="auto" w:val="clear"/>
            <w:tcMar>
              <w:top w:type="dxa" w:w="100"/>
              <w:left w:type="dxa" w:w="120"/>
              <w:bottom w:type="dxa" w:w="100"/>
              <w:right w:type="dxa" w:w="120"/>
            </w:tcMar>
            <w:vAlign w:val="center"/>
          </w:tcPr>
          <w:p>
            <w:r>
              <w:rPr>
                <w:b/>
                <w:bCs/>
                <w:color w:val="FFFFFF"/>
                <w:sz w:val="19"/>
                <w:szCs w:val="19"/>
              </w:rPr>
              <w:t xml:space="preserve">Input Parameters</w:t>
            </w:r>
          </w:p>
        </w:tc>
        <w:tc>
          <w:tcPr>
            <w:tcW w:type="dxa" w:w="3760"/>
            <w:shd w:fill="1F3864" w:color="auto" w:val="clear"/>
            <w:tcMar>
              <w:top w:type="dxa" w:w="100"/>
              <w:left w:type="dxa" w:w="120"/>
              <w:bottom w:type="dxa" w:w="100"/>
              <w:right w:type="dxa" w:w="120"/>
            </w:tcMar>
            <w:vAlign w:val="center"/>
          </w:tcPr>
          <w:p>
            <w:r>
              <w:rPr>
                <w:b/>
                <w:bCs/>
                <w:color w:val="FFFFFF"/>
                <w:sz w:val="19"/>
                <w:szCs w:val="19"/>
              </w:rPr>
              <w:t xml:space="preserve">Output Contract</w:t>
            </w:r>
          </w:p>
        </w:tc>
      </w:tr>
      <w:tr>
        <w:tc>
          <w:tcPr>
            <w:tcW w:type="dxa" w:w="2200"/>
            <w:shd w:fill="FFFFFF" w:color="auto" w:val="clear"/>
            <w:tcMar>
              <w:top w:type="dxa" w:w="100"/>
              <w:left w:type="dxa" w:w="120"/>
              <w:bottom w:type="dxa" w:w="100"/>
              <w:right w:type="dxa" w:w="120"/>
            </w:tcMar>
            <w:vAlign w:val="center"/>
          </w:tcPr>
          <w:p>
            <w:r>
              <w:rPr>
                <w:b/>
                <w:bCs/>
                <w:color w:val="000000"/>
                <w:sz w:val="19"/>
                <w:szCs w:val="19"/>
              </w:rPr>
              <w:t xml:space="preserve">rerank_policy_chunks</w:t>
            </w:r>
          </w:p>
        </w:tc>
        <w:tc>
          <w:tcPr>
            <w:tcW w:type="dxa" w:w="3400"/>
            <w:shd w:fill="FFFFFF" w:color="auto" w:val="clear"/>
            <w:tcMar>
              <w:top w:type="dxa" w:w="100"/>
              <w:left w:type="dxa" w:w="120"/>
              <w:bottom w:type="dxa" w:w="100"/>
              <w:right w:type="dxa" w:w="120"/>
            </w:tcMar>
            <w:vAlign w:val="center"/>
          </w:tcPr>
          <w:p>
            <w:r>
              <w:rPr>
                <w:b w:val="false"/>
                <w:bCs w:val="false"/>
                <w:color w:val="000000"/>
                <w:sz w:val="19"/>
                <w:szCs w:val="19"/>
              </w:rPr>
              <w:t xml:space="preserve">query: string, chunks: list, top_k: int</w:t>
            </w:r>
          </w:p>
        </w:tc>
        <w:tc>
          <w:tcPr>
            <w:tcW w:type="dxa" w:w="3760"/>
            <w:shd w:fill="FFFFFF" w:color="auto" w:val="clear"/>
            <w:tcMar>
              <w:top w:type="dxa" w:w="100"/>
              <w:left w:type="dxa" w:w="120"/>
              <w:bottom w:type="dxa" w:w="100"/>
              <w:right w:type="dxa" w:w="120"/>
            </w:tcMar>
            <w:vAlign w:val="center"/>
          </w:tcPr>
          <w:p>
            <w:r>
              <w:rPr>
                <w:b w:val="false"/>
                <w:bCs w:val="false"/>
                <w:color w:val="000000"/>
                <w:sz w:val="19"/>
                <w:szCs w:val="19"/>
              </w:rPr>
              <w:t xml:space="preserve">RankedChunks: chunks list (reordered), scores list — optional cross-encoder pass (bge-reranker-base) between Qdrant retrieval and the Policy Agent; invoked only if enabled via config, not called by default</w:t>
            </w:r>
          </w:p>
        </w:tc>
      </w:tr>
    </w:tbl>
    <w:p>
      <w:pPr>
        <w:pStyle w:val="Heading2"/>
        <w:spacing w:after="120" w:before="280"/>
      </w:pPr>
      <w:r>
        <w:rPr>
          <w:b/>
          <w:bCs/>
          <w:color w:val="44546A"/>
          <w:sz w:val="24"/>
          <w:szCs w:val="24"/>
        </w:rPr>
        <w:t xml:space="preserve">3.9 Retrieval Confidence Gate (new)</w:t>
      </w:r>
    </w:p>
    <w:p>
      <w:pPr>
        <w:spacing w:after="160" w:line="276"/>
      </w:pPr>
      <w:r>
        <w:rPr>
          <w:sz w:val="21"/>
          <w:szCs w:val="21"/>
        </w:rPr>
        <w:t xml:space="preserve">This section formalizes what v1.0's agent topology table (Stage 3.2) stated as an intention — “Self-RAG or CRAG: abstains when evidence is weak” for the Policy Agent — as an implementable design.</w:t>
      </w:r>
    </w:p>
    <w:p>
      <w:pPr>
        <w:pStyle w:val="ListParagraph"/>
        <w:numPr>
          <w:ilvl w:val="0"/>
          <w:numId w:val="2"/>
        </w:numPr>
        <w:spacing w:after="80" w:line="276"/>
      </w:pPr>
      <w:r>
        <w:rPr>
          <w:sz w:val="21"/>
          <w:szCs w:val="21"/>
        </w:rPr>
        <w:t xml:space="preserve">After policy_retrieval returns, the Policy Agent computes a retrieval-confidence signal from the returned retrieval_scores.</w:t>
      </w:r>
    </w:p>
    <w:p>
      <w:pPr>
        <w:pStyle w:val="ListParagraph"/>
        <w:numPr>
          <w:ilvl w:val="0"/>
          <w:numId w:val="2"/>
        </w:numPr>
        <w:spacing w:after="80" w:line="276"/>
      </w:pPr>
      <w:r>
        <w:rPr>
          <w:sz w:val="21"/>
          <w:szCs w:val="21"/>
        </w:rPr>
        <w:t xml:space="preserve">If confidence is above threshold, the agent proceeds to draft a response grounded in the retrieved chunks as before.</w:t>
      </w:r>
    </w:p>
    <w:p>
      <w:pPr>
        <w:pStyle w:val="ListParagraph"/>
        <w:numPr>
          <w:ilvl w:val="0"/>
          <w:numId w:val="2"/>
        </w:numPr>
        <w:spacing w:after="80" w:line="276"/>
      </w:pPr>
      <w:r>
        <w:rPr>
          <w:sz w:val="21"/>
          <w:szCs w:val="21"/>
        </w:rPr>
        <w:t xml:space="preserve">If confidence is below threshold, the graph takes a conditional edge: reformulate the query and re-retrieve once, or, if a second attempt also comes back weak, abstain and route directly to escalation rather than answering on weak evidence.</w:t>
      </w:r>
    </w:p>
    <w:p>
      <w:pPr>
        <w:pStyle w:val="ListParagraph"/>
        <w:numPr>
          <w:ilvl w:val="0"/>
          <w:numId w:val="2"/>
        </w:numPr>
        <w:spacing w:after="80" w:line="276"/>
      </w:pPr>
      <w:r>
        <w:rPr>
          <w:sz w:val="21"/>
          <w:szCs w:val="21"/>
        </w:rPr>
        <w:t xml:space="preserve">This is one conditional edge added to the existing LangGraph graph, not a new component — and it is the single most direct lever on the PRD's RAGAS faithfulness guardrail (Stage 2.5 in the base PDLC).</w:t>
      </w:r>
    </w:p>
    <w:p>
      <w:pPr>
        <w:pStyle w:val="Heading2"/>
        <w:spacing w:after="120" w:before="280"/>
      </w:pPr>
      <w:r>
        <w:rPr>
          <w:b/>
          <w:bCs/>
          <w:color w:val="44546A"/>
          <w:sz w:val="24"/>
          <w:szCs w:val="24"/>
        </w:rPr>
        <w:t xml:space="preserve">3.10 Bounded Reflexion Retry on Safety Critic Rejection (new)</w:t>
      </w:r>
    </w:p>
    <w:p>
      <w:pPr>
        <w:spacing w:after="160" w:line="276"/>
      </w:pPr>
      <w:r>
        <w:rPr>
          <w:sz w:val="21"/>
          <w:szCs w:val="21"/>
        </w:rPr>
        <w:t xml:space="preserve">v1.0's evaluator-optimizer gate routed any Safety Critic rejection directly to human escalation. That remains the terminal behaviour, but one bounded retry is now inserted before it:</w:t>
      </w:r>
    </w:p>
    <w:p>
      <w:pPr>
        <w:pStyle w:val="ListParagraph"/>
        <w:numPr>
          <w:ilvl w:val="0"/>
          <w:numId w:val="2"/>
        </w:numPr>
        <w:spacing w:after="80" w:line="276"/>
      </w:pPr>
      <w:r>
        <w:rPr>
          <w:sz w:val="21"/>
          <w:szCs w:val="21"/>
        </w:rPr>
        <w:t xml:space="preserve">When the Safety Critic blocks a draft response, the rejection reason (faithfulness score, flag type) is attached to the graph state and routed back to the originating specialist agent — once.</w:t>
      </w:r>
    </w:p>
    <w:p>
      <w:pPr>
        <w:pStyle w:val="ListParagraph"/>
        <w:numPr>
          <w:ilvl w:val="0"/>
          <w:numId w:val="2"/>
        </w:numPr>
        <w:spacing w:after="80" w:line="276"/>
      </w:pPr>
      <w:r>
        <w:rPr>
          <w:sz w:val="21"/>
          <w:szCs w:val="21"/>
        </w:rPr>
        <w:t xml:space="preserve">The specialist regenerates its draft with the rejection reason as additional context.</w:t>
      </w:r>
    </w:p>
    <w:p>
      <w:pPr>
        <w:pStyle w:val="ListParagraph"/>
        <w:numPr>
          <w:ilvl w:val="0"/>
          <w:numId w:val="2"/>
        </w:numPr>
        <w:spacing w:after="80" w:line="276"/>
      </w:pPr>
      <w:r>
        <w:rPr>
          <w:sz w:val="21"/>
          <w:szCs w:val="21"/>
        </w:rPr>
        <w:t xml:space="preserve">The Safety Critic re-evaluates the regenerated draft. If it now passes, the ticket proceeds to resolution as normal. If it fails a second time, the ticket escalates to a human exactly as in v1.0.</w:t>
      </w:r>
    </w:p>
    <w:p>
      <w:pPr>
        <w:pStyle w:val="ListParagraph"/>
        <w:numPr>
          <w:ilvl w:val="0"/>
          <w:numId w:val="2"/>
        </w:numPr>
        <w:spacing w:after="80" w:line="276"/>
      </w:pPr>
      <w:r>
        <w:rPr>
          <w:sz w:val="21"/>
          <w:szCs w:val="21"/>
        </w:rPr>
        <w:t xml:space="preserve">The retry is capped at one attempt to bound added latency and cost against the PRD's latency budget and cost-per-ticket guardrail; it is a direct extension of the evaluator-optimizer pattern already locked into the Orchestration Decision Record, not a new architectural pattern.</w:t>
      </w:r>
    </w:p>
    <w:p>
      <w:pPr>
        <w:pStyle w:val="Heading2"/>
        <w:spacing w:after="120" w:before="280"/>
      </w:pPr>
      <w:r>
        <w:rPr>
          <w:b/>
          <w:bCs/>
          <w:color w:val="44546A"/>
          <w:sz w:val="24"/>
          <w:szCs w:val="24"/>
        </w:rPr>
        <w:t xml:space="preserve">3.11 Structured Agent-Output UI Payloads (new)</w:t>
      </w:r>
    </w:p>
    <w:p>
      <w:pPr>
        <w:spacing w:after="160" w:line="276"/>
      </w:pPr>
      <w:r>
        <w:rPr>
          <w:sz w:val="21"/>
          <w:szCs w:val="21"/>
        </w:rPr>
        <w:t xml:space="preserve">Refund, Dispute, and Escalation agent responses that require a customer or ops-agent decision (confirm a refund, review a dispute brief, approve an escalation) now return a typed Pydantic payload — e.g. RefundConfirmation, EscalationBrief — instead of free text. The React frontend renders these as an approve/reject or confirmation card rather than a paragraph the person has to parse. This uses schemas the agent registry (Stage 3.6) already requires each agent to declare; no new validation layer is introduced, only a rendering convention on the frontend that consumes those existing output schemas.</w:t>
      </w:r>
    </w:p>
    <w:p>
      <w:r>
        <w:br w:type="page"/>
      </w:r>
    </w:p>
    <w:p>
      <w:pPr>
        <w:pStyle w:val="Heading1"/>
        <w:pBdr>
          <w:bottom w:val="single" w:color="1F3864" w:sz="6" w:space="4"/>
        </w:pBdr>
        <w:spacing w:after="200" w:before="400"/>
      </w:pPr>
      <w:r>
        <w:rPr>
          <w:b/>
          <w:bCs/>
          <w:color w:val="1F3864"/>
          <w:sz w:val="30"/>
          <w:szCs w:val="30"/>
        </w:rPr>
        <w:t xml:space="preserve">Revised Stage 4 — Risk Register Addendum</w:t>
      </w:r>
    </w:p>
    <w:p>
      <w:pPr>
        <w:spacing w:after="160" w:line="276"/>
      </w:pPr>
      <w:r>
        <w:rPr>
          <w:sz w:val="21"/>
          <w:szCs w:val="21"/>
        </w:rPr>
        <w:t xml:space="preserve">One new risk is added; two existing mitigations are strengthened. All other rows in the v1.0 risk register (Stage 4.1) are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3260"/>
        <w:gridCol w:w="2000"/>
      </w:tblGrid>
      <w:tr>
        <w:trPr>
          <w:tblHeader/>
        </w:trPr>
        <w:tc>
          <w:tcPr>
            <w:tcW w:type="dxa" w:w="1900"/>
            <w:shd w:fill="1F3864" w:color="auto" w:val="clear"/>
            <w:tcMar>
              <w:top w:type="dxa" w:w="100"/>
              <w:left w:type="dxa" w:w="120"/>
              <w:bottom w:type="dxa" w:w="100"/>
              <w:right w:type="dxa" w:w="120"/>
            </w:tcMar>
            <w:vAlign w:val="center"/>
          </w:tcPr>
          <w:p>
            <w:r>
              <w:rPr>
                <w:b/>
                <w:bCs/>
                <w:color w:val="FFFFFF"/>
                <w:sz w:val="19"/>
                <w:szCs w:val="19"/>
              </w:rPr>
              <w:t xml:space="preserve">Risk</w:t>
            </w:r>
          </w:p>
        </w:tc>
        <w:tc>
          <w:tcPr>
            <w:tcW w:type="dxa" w:w="1100"/>
            <w:shd w:fill="1F3864" w:color="auto" w:val="clear"/>
            <w:tcMar>
              <w:top w:type="dxa" w:w="100"/>
              <w:left w:type="dxa" w:w="120"/>
              <w:bottom w:type="dxa" w:w="100"/>
              <w:right w:type="dxa" w:w="120"/>
            </w:tcMar>
            <w:vAlign w:val="center"/>
          </w:tcPr>
          <w:p>
            <w:r>
              <w:rPr>
                <w:b/>
                <w:bCs/>
                <w:color w:val="FFFFFF"/>
                <w:sz w:val="19"/>
                <w:szCs w:val="19"/>
              </w:rPr>
              <w:t xml:space="preserve">Likelihood</w:t>
            </w:r>
          </w:p>
        </w:tc>
        <w:tc>
          <w:tcPr>
            <w:tcW w:type="dxa" w:w="1100"/>
            <w:shd w:fill="1F3864" w:color="auto" w:val="clear"/>
            <w:tcMar>
              <w:top w:type="dxa" w:w="100"/>
              <w:left w:type="dxa" w:w="120"/>
              <w:bottom w:type="dxa" w:w="100"/>
              <w:right w:type="dxa" w:w="120"/>
            </w:tcMar>
            <w:vAlign w:val="center"/>
          </w:tcPr>
          <w:p>
            <w:r>
              <w:rPr>
                <w:b/>
                <w:bCs/>
                <w:color w:val="FFFFFF"/>
                <w:sz w:val="19"/>
                <w:szCs w:val="19"/>
              </w:rPr>
              <w:t xml:space="preserve">Impact</w:t>
            </w:r>
          </w:p>
        </w:tc>
        <w:tc>
          <w:tcPr>
            <w:tcW w:type="dxa" w:w="3260"/>
            <w:shd w:fill="1F3864" w:color="auto" w:val="clear"/>
            <w:tcMar>
              <w:top w:type="dxa" w:w="100"/>
              <w:left w:type="dxa" w:w="120"/>
              <w:bottom w:type="dxa" w:w="100"/>
              <w:right w:type="dxa" w:w="120"/>
            </w:tcMar>
            <w:vAlign w:val="center"/>
          </w:tcPr>
          <w:p>
            <w:r>
              <w:rPr>
                <w:b/>
                <w:bCs/>
                <w:color w:val="FFFFFF"/>
                <w:sz w:val="19"/>
                <w:szCs w:val="19"/>
              </w:rPr>
              <w:t xml:space="preserve">Mitigation</w:t>
            </w:r>
          </w:p>
        </w:tc>
        <w:tc>
          <w:tcPr>
            <w:tcW w:type="dxa" w:w="2000"/>
            <w:shd w:fill="1F3864" w:color="auto" w:val="clear"/>
            <w:tcMar>
              <w:top w:type="dxa" w:w="100"/>
              <w:left w:type="dxa" w:w="120"/>
              <w:bottom w:type="dxa" w:w="100"/>
              <w:right w:type="dxa" w:w="120"/>
            </w:tcMar>
            <w:vAlign w:val="center"/>
          </w:tcPr>
          <w:p>
            <w:r>
              <w:rPr>
                <w:b/>
                <w:bCs/>
                <w:color w:val="FFFFFF"/>
                <w:sz w:val="19"/>
                <w:szCs w:val="19"/>
              </w:rPr>
              <w:t xml:space="preserve">Residual Risk</w:t>
            </w:r>
          </w:p>
        </w:tc>
      </w:tr>
      <w:tr>
        <w:tc>
          <w:tcPr>
            <w:tcW w:type="dxa" w:w="1900"/>
            <w:shd w:fill="FFFFFF" w:color="auto" w:val="clear"/>
            <w:tcMar>
              <w:top w:type="dxa" w:w="100"/>
              <w:left w:type="dxa" w:w="120"/>
              <w:bottom w:type="dxa" w:w="100"/>
              <w:right w:type="dxa" w:w="120"/>
            </w:tcMar>
            <w:vAlign w:val="center"/>
          </w:tcPr>
          <w:p>
            <w:r>
              <w:rPr>
                <w:b/>
                <w:bCs/>
                <w:color w:val="000000"/>
                <w:sz w:val="19"/>
                <w:szCs w:val="19"/>
              </w:rPr>
              <w:t xml:space="preserve">Third-party dependency supply-chain risk (LiteLLM)</w:t>
            </w:r>
          </w:p>
        </w:tc>
        <w:tc>
          <w:tcPr>
            <w:tcW w:type="dxa" w:w="1100"/>
            <w:shd w:fill="FFFFFF" w:color="auto" w:val="clear"/>
            <w:tcMar>
              <w:top w:type="dxa" w:w="100"/>
              <w:left w:type="dxa" w:w="120"/>
              <w:bottom w:type="dxa" w:w="100"/>
              <w:right w:type="dxa" w:w="120"/>
            </w:tcMar>
            <w:vAlign w:val="center"/>
          </w:tcPr>
          <w:p>
            <w:r>
              <w:rPr>
                <w:b w:val="false"/>
                <w:bCs w:val="false"/>
                <w:color w:val="000000"/>
                <w:sz w:val="19"/>
                <w:szCs w:val="19"/>
              </w:rPr>
              <w:t xml:space="preserve">Low</w:t>
            </w:r>
          </w:p>
        </w:tc>
        <w:tc>
          <w:tcPr>
            <w:tcW w:type="dxa" w:w="1100"/>
            <w:shd w:fill="FFFFFF" w:color="auto" w:val="clear"/>
            <w:tcMar>
              <w:top w:type="dxa" w:w="100"/>
              <w:left w:type="dxa" w:w="120"/>
              <w:bottom w:type="dxa" w:w="100"/>
              <w:right w:type="dxa" w:w="120"/>
            </w:tcMar>
            <w:vAlign w:val="center"/>
          </w:tcPr>
          <w:p>
            <w:r>
              <w:rPr>
                <w:b w:val="false"/>
                <w:bCs w:val="false"/>
                <w:color w:val="000000"/>
                <w:sz w:val="19"/>
                <w:szCs w:val="19"/>
              </w:rPr>
              <w:t xml:space="preserve">Medium</w:t>
            </w:r>
          </w:p>
        </w:tc>
        <w:tc>
          <w:tcPr>
            <w:tcW w:type="dxa" w:w="3260"/>
            <w:shd w:fill="FFFFFF" w:color="auto" w:val="clear"/>
            <w:tcMar>
              <w:top w:type="dxa" w:w="100"/>
              <w:left w:type="dxa" w:w="120"/>
              <w:bottom w:type="dxa" w:w="100"/>
              <w:right w:type="dxa" w:w="120"/>
            </w:tcMar>
            <w:vAlign w:val="center"/>
          </w:tcPr>
          <w:p>
            <w:r>
              <w:rPr>
                <w:b w:val="false"/>
                <w:bCs w:val="false"/>
                <w:color w:val="000000"/>
                <w:sz w:val="19"/>
                <w:szCs w:val="19"/>
              </w:rPr>
              <w:t xml:space="preserve">LiteLLM version pinned in requirements/pyproject; dependency audit at every sprint boundary before merging; no auto-upgrade in CI</w:t>
            </w:r>
          </w:p>
        </w:tc>
        <w:tc>
          <w:tcPr>
            <w:tcW w:type="dxa" w:w="2000"/>
            <w:shd w:fill="FFFFFF" w:color="auto" w:val="clear"/>
            <w:tcMar>
              <w:top w:type="dxa" w:w="100"/>
              <w:left w:type="dxa" w:w="120"/>
              <w:bottom w:type="dxa" w:w="100"/>
              <w:right w:type="dxa" w:w="120"/>
            </w:tcMar>
            <w:vAlign w:val="center"/>
          </w:tcPr>
          <w:p>
            <w:r>
              <w:rPr>
                <w:b w:val="false"/>
                <w:bCs w:val="false"/>
                <w:color w:val="000000"/>
                <w:sz w:val="19"/>
                <w:szCs w:val="19"/>
              </w:rPr>
              <w:t xml:space="preserve">Low — pinning removes surprise upgrades; audit catches known-vulnerable releases before they reach main</w:t>
            </w:r>
          </w:p>
        </w:tc>
      </w:tr>
    </w:tbl>
    <w:p>
      <w:pPr>
        <w:spacing w:after="160"/>
      </w:pPr>
    </w:p>
    <w:p>
      <w:pPr>
        <w:pStyle w:val="Heading3"/>
        <w:spacing w:after="100" w:before="200"/>
      </w:pPr>
      <w:r>
        <w:rPr>
          <w:b/>
          <w:bCs/>
          <w:i/>
          <w:iCs/>
          <w:color w:val="44546A"/>
          <w:sz w:val="21"/>
          <w:szCs w:val="21"/>
        </w:rPr>
        <w:t xml:space="preserve">Updated mitigation — Hallucinated policy answer</w:t>
      </w:r>
    </w:p>
    <w:p>
      <w:pPr>
        <w:spacing w:after="160" w:line="276"/>
      </w:pPr>
      <w:r>
        <w:rPr>
          <w:sz w:val="21"/>
          <w:szCs w:val="21"/>
        </w:rPr>
        <w:t xml:space="preserve">v1.0's mitigation (“all policy claims grounded in ChromaDB retrieval; Self-RAG or CRAG abstains when evidence is weak; Safety Critic blocks responses below RAGAS faithfulness 0.70”) now points at concrete implementations: the vector store is Qdrant (see the Change Log above), and the abstain behaviour is the Retrieval Confidence Gate specified in 3.9 above, not a stated intention.</w:t>
      </w:r>
    </w:p>
    <w:p>
      <w:pPr>
        <w:pStyle w:val="Heading3"/>
        <w:spacing w:after="100" w:before="200"/>
      </w:pPr>
      <w:r>
        <w:rPr>
          <w:b/>
          <w:bCs/>
          <w:i/>
          <w:iCs/>
          <w:color w:val="44546A"/>
          <w:sz w:val="21"/>
          <w:szCs w:val="21"/>
        </w:rPr>
        <w:t xml:space="preserve">Updated mitigation — Under-escalation of sensitive cases</w:t>
      </w:r>
    </w:p>
    <w:p>
      <w:pPr>
        <w:spacing w:after="160" w:line="276"/>
      </w:pPr>
      <w:r>
        <w:rPr>
          <w:sz w:val="21"/>
          <w:szCs w:val="21"/>
        </w:rPr>
        <w:t xml:space="preserve">The Bounded Reflexion Retry (3.10) does not weaken this mitigation: the retry only applies to Safety Critic rejections on grounding/tone/format grounds. Hard escalation triggers (fraud/legal/account-suspension keywords, the INR 500 threshold) remain deterministic pre-checks that fire before any LLM call, exactly as in v1.0, and are never subject to a retry — a triggered hard rule escalates immediately.</w:t>
      </w:r>
    </w:p>
    <w:p>
      <w:r>
        <w:br w:type="page"/>
      </w:r>
    </w:p>
    <w:p>
      <w:pPr>
        <w:pStyle w:val="Heading1"/>
        <w:pBdr>
          <w:bottom w:val="single" w:color="1F3864" w:sz="6" w:space="4"/>
        </w:pBdr>
        <w:spacing w:after="200" w:before="400"/>
      </w:pPr>
      <w:r>
        <w:rPr>
          <w:b/>
          <w:bCs/>
          <w:color w:val="1F3864"/>
          <w:sz w:val="30"/>
          <w:szCs w:val="30"/>
        </w:rPr>
        <w:t xml:space="preserve">Revised Stage 6 — Build</w:t>
      </w:r>
    </w:p>
    <w:p>
      <w:pPr>
        <w:pStyle w:val="Heading2"/>
        <w:spacing w:after="120" w:before="280"/>
      </w:pPr>
      <w:r>
        <w:rPr>
          <w:b/>
          <w:bCs/>
          <w:color w:val="44546A"/>
          <w:sz w:val="24"/>
          <w:szCs w:val="24"/>
        </w:rPr>
        <w:t xml:space="preserve">6.1 Implementation Plan (revised)</w:t>
      </w:r>
    </w:p>
    <w:p>
      <w:pPr>
        <w:spacing w:after="160" w:line="276"/>
      </w:pPr>
      <w:r>
        <w:rPr>
          <w:sz w:val="21"/>
          <w:szCs w:val="21"/>
        </w:rPr>
        <w:t xml:space="preserve">The worker is now built and deployed as a separate unit from the API from the start, not split out later. Locally, docker-compose.yml runs both processes plus local Redis/Postgres substitutes; both share the same Dockerfile pattern but different entrypoints.</w:t>
      </w:r>
    </w:p>
    <w:p>
      <w:pPr>
        <w:pStyle w:val="Heading2"/>
        <w:spacing w:after="120" w:before="280"/>
      </w:pPr>
      <w:r>
        <w:rPr>
          <w:b/>
          <w:bCs/>
          <w:color w:val="44546A"/>
          <w:sz w:val="24"/>
          <w:szCs w:val="24"/>
        </w:rPr>
        <w:t xml:space="preserve">6.2 Concurrency and Load Handling (revised)</w:t>
      </w:r>
    </w:p>
    <w:p>
      <w:pPr>
        <w:spacing w:after="160" w:line="276"/>
      </w:pPr>
      <w:r>
        <w:rPr>
          <w:sz w:val="21"/>
          <w:szCs w:val="21"/>
        </w:rPr>
        <w:t xml:space="preserve">Redis (now hosted on Upstash) serves three roles instead of one: the ticket-ingestion queue described in 3.1, the semantic cache for repeated WISMO/policy queries as in v1.0, and a token-bucket rate limiter at the API's ingestion point. The rate limiter lets a genuine traffic spike degrade gracefully — queue and fast-ack — rather than let the worker pool fall over, operationalizing the kill-switch/graceful-fallback principle from Stage 4.2 at the ingestion layer specifically.</w:t>
      </w:r>
    </w:p>
    <w:p>
      <w:pPr>
        <w:pStyle w:val="Heading2"/>
        <w:spacing w:after="120" w:before="280"/>
      </w:pPr>
      <w:r>
        <w:rPr>
          <w:b/>
          <w:bCs/>
          <w:color w:val="44546A"/>
          <w:sz w:val="24"/>
          <w:szCs w:val="24"/>
        </w:rPr>
        <w:t xml:space="preserve">6.3 Token Economics Instrumentation (revised — one lever added)</w:t>
      </w:r>
    </w:p>
    <w:p>
      <w:pPr>
        <w:spacing w:after="160" w:line="276"/>
      </w:pPr>
      <w:r>
        <w:rPr>
          <w:sz w:val="21"/>
          <w:szCs w:val="21"/>
        </w:rPr>
        <w:t xml:space="preserve">Structured-output constraints (3.4) are a direct cost lever, not just a correctness one: rejecting malformed output at generation time avoids the retry-and-regenerate cycle that a downstream Pydantic validation failure would otherwise trigger, each retry being a full additional LLM call against the same cost-per-ticket guardrail.</w:t>
      </w:r>
    </w:p>
    <w:p>
      <w:r>
        <w:br w:type="page"/>
      </w:r>
    </w:p>
    <w:p>
      <w:pPr>
        <w:pStyle w:val="Heading1"/>
        <w:pBdr>
          <w:bottom w:val="single" w:color="1F3864" w:sz="6" w:space="4"/>
        </w:pBdr>
        <w:spacing w:after="200" w:before="400"/>
      </w:pPr>
      <w:r>
        <w:rPr>
          <w:b/>
          <w:bCs/>
          <w:color w:val="1F3864"/>
          <w:sz w:val="30"/>
          <w:szCs w:val="30"/>
        </w:rPr>
        <w:t xml:space="preserve">Revised Stage 8 — Operate</w:t>
      </w:r>
    </w:p>
    <w:p>
      <w:pPr>
        <w:pStyle w:val="Heading2"/>
        <w:spacing w:after="120" w:before="280"/>
      </w:pPr>
      <w:r>
        <w:rPr>
          <w:b/>
          <w:bCs/>
          <w:color w:val="44546A"/>
          <w:sz w:val="24"/>
          <w:szCs w:val="24"/>
        </w:rPr>
        <w:t xml:space="preserve">8.1 Deployment (revised)</w:t>
      </w:r>
    </w:p>
    <w:p>
      <w:pPr>
        <w:spacing w:after="160" w:line="276"/>
      </w:pPr>
      <w:r>
        <w:rPr>
          <w:sz w:val="21"/>
          <w:szCs w:val="21"/>
        </w:rPr>
        <w:t xml:space="preserve">v1.0 named “a free cloud tier (Render or HuggingFace Spaces)” without specifying topology. This is now concrete: two stateless Render web services (API and worker), with all state living in Supabase (Postgres + Auth), Qdrant Cloud (vector store), and Upstash (Redis). Because neither Render service holds local state, a cold start or redeploy loses nothing.</w:t>
      </w:r>
    </w:p>
    <w:p>
      <w:pPr>
        <w:pStyle w:val="Heading2"/>
        <w:spacing w:after="120" w:before="280"/>
      </w:pPr>
      <w:r>
        <w:rPr>
          <w:b/>
          <w:bCs/>
          <w:color w:val="44546A"/>
          <w:sz w:val="24"/>
          <w:szCs w:val="24"/>
        </w:rPr>
        <w:t xml:space="preserve">8.3 Operate Runbook (addition)</w:t>
      </w:r>
    </w:p>
    <w:p>
      <w:pPr>
        <w:spacing w:after="160" w:line="276"/>
      </w:pPr>
      <w:r>
        <w:rPr>
          <w:sz w:val="21"/>
          <w:szCs w:val="21"/>
        </w:rPr>
        <w:t xml:space="preserve">One routine addition to the monitoring checklist: a weekly GitHub Actions cron job pings Supabase and Qdrant Cloud to prevent their free-tier inactivity pauses (7 days and 1 week respectively) from triggering mid-sprint. Full free-tier constraints and mitigations for every service in the stack are maintained in the companion Build Tech Stack v1.0 document, Appendix A — that table is now the canonical reference and is not duplicated here.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Page </w:t>
    </w:r>
    <w:r>
      <w:rPr>
        <w:color w:val="44546A"/>
        <w:sz w:val="16"/>
        <w:szCs w:val="16"/>
      </w:rPr>
      <w:fldChar w:fldCharType="begin"/>
      <w:instrText xml:space="preserve">PAGE</w:instrText>
      <w:fldChar w:fldCharType="separate"/>
      <w:fldChar w:fldCharType="end"/>
    </w:r>
    <w:r>
      <w:rPr>
        <w:color w:val="44546A"/>
        <w:sz w:val="16"/>
        <w:szCs w:val="16"/>
      </w:rPr>
      <w:t xml:space="preserve"> of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6C2D9" w:sz="4" w:space="4"/>
      </w:pBdr>
      <w:jc w:val="right"/>
    </w:pPr>
    <w:r>
      <w:rPr>
        <w:color w:val="44546A"/>
        <w:sz w:val="16"/>
        <w:szCs w:val="16"/>
      </w:rPr>
      <w:t xml:space="preserve">Cartly | PDLC v1.1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2026-07-03T10:49:14.555Z</dcterms:created>
  <dcterms:modified xsi:type="dcterms:W3CDTF">2026-07-03T10:49:14.556Z</dcterms:modified>
</cp:coreProperties>
</file>

<file path=docProps/custom.xml><?xml version="1.0" encoding="utf-8"?>
<Properties xmlns="http://schemas.openxmlformats.org/officeDocument/2006/custom-properties" xmlns:vt="http://schemas.openxmlformats.org/officeDocument/2006/docPropsVTypes"/>
</file>