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color w:val="0F172A"/>
          <w:sz w:val="36"/>
        </w:rPr>
        <w:t>A Machine Learning-Based System for Food Nutrient Prediction, Nutritional Quality Classification, and Food Recommendation with Indian Food Integration</w:t>
      </w:r>
    </w:p>
    <w:p>
      <w:pPr>
        <w:spacing w:after="40"/>
        <w:jc w:val="center"/>
      </w:pPr>
      <w:r>
        <w:rPr>
          <w:rFonts w:ascii="Arial" w:hAnsi="Arial"/>
          <w:b/>
          <w:color w:val="1E3A8A"/>
          <w:sz w:val="22"/>
        </w:rPr>
        <w:t>Harishta Pareek, Rakesh Jena, Shubham Chauhan</w:t>
      </w:r>
    </w:p>
    <w:p>
      <w:pPr>
        <w:spacing w:after="360"/>
        <w:jc w:val="center"/>
      </w:pPr>
      <w:r>
        <w:rPr>
          <w:rFonts w:ascii="Arial" w:hAnsi="Arial"/>
          <w:i/>
          <w:color w:val="475569"/>
          <w:sz w:val="19"/>
        </w:rPr>
        <w:t>Department of Computer Science and Engineering | IITE, Indus University | Ahmedabad, Gujarat</w:t>
      </w:r>
    </w:p>
    <w:p>
      <w:pPr>
        <w:spacing w:before="280" w:after="120"/>
      </w:pPr>
      <w:r>
        <w:rPr>
          <w:rFonts w:ascii="Arial" w:hAnsi="Arial"/>
          <w:b/>
          <w:color w:val="1E3A8A"/>
          <w:sz w:val="24"/>
        </w:rPr>
        <w:t>ABSTRACT &amp; KEYWORDS</w:t>
      </w:r>
    </w:p>
    <w:p>
      <w:pPr>
        <w:spacing w:after="120" w:line="276" w:lineRule="auto"/>
      </w:pPr>
      <w:r>
        <w:rPr>
          <w:rFonts w:ascii="Arial" w:hAnsi="Arial"/>
          <w:b/>
          <w:color w:val="0F172A"/>
          <w:sz w:val="19"/>
        </w:rPr>
        <w:t xml:space="preserve">Abstract— </w:t>
      </w:r>
      <w:r>
        <w:rPr>
          <w:rFonts w:ascii="Arial" w:hAnsi="Arial"/>
          <w:color w:val="334155"/>
          <w:sz w:val="19"/>
        </w:rPr>
        <w:t>This study presents an integrated machine-learning workflow for multi-source food nutrition analysis, nutrient prediction, nutritional-quality classification, and diet recommendation with an explicit focus on Indian food composition and composite meals. The dataset integrates international resources (USDA FoodData Central SR Legacy and Open Food Facts) with a curated Indian Food Composition dataset (1,014 dishes) and a constructed Composite Indian Meal dataset (200 recipes), yielding 8,411 clean records. Supervised protein regression using Random Forest Regressor achieved an MAE of 1.334g and R² of 0.6659 on the unified expanded dataset. Supervised quality classification into project-defined Low, Medium, and High nutritional categories achieved 96.77% test accuracy using a Gradient Boosting Classifier (Macro F1 = 0.9239). The recommendation engine employs vector cosine similarity combined with hard numerical constraint filtering and natural language explanations. The pipeline is deployed via an interactive Streamlit web dashboard.</w:t>
      </w:r>
    </w:p>
    <w:p>
      <w:pPr>
        <w:spacing w:after="120" w:line="276" w:lineRule="auto"/>
      </w:pPr>
      <w:r>
        <w:rPr>
          <w:rFonts w:ascii="Arial" w:hAnsi="Arial"/>
          <w:b/>
          <w:color w:val="0F172A"/>
          <w:sz w:val="19"/>
        </w:rPr>
        <w:t xml:space="preserve">Keywords— </w:t>
      </w:r>
      <w:r>
        <w:rPr>
          <w:rFonts w:ascii="Arial" w:hAnsi="Arial"/>
          <w:color w:val="334155"/>
          <w:sz w:val="19"/>
        </w:rPr>
        <w:t>Machine Learning, Food Nutrition, Indian Cuisine Integration, Random Forest Regression, Gradient Boosting Classification, Cosine Similarity Recommender, Streamlit Deployment.</w:t>
      </w:r>
    </w:p>
    <w:p>
      <w:pPr>
        <w:spacing w:before="280" w:after="120"/>
      </w:pPr>
      <w:r>
        <w:rPr>
          <w:rFonts w:ascii="Arial" w:hAnsi="Arial"/>
          <w:b/>
          <w:color w:val="1E3A8A"/>
          <w:sz w:val="24"/>
        </w:rPr>
        <w:t>I. INTRODUCTION</w:t>
      </w:r>
    </w:p>
    <w:p>
      <w:pPr>
        <w:spacing w:after="120" w:line="276" w:lineRule="auto"/>
      </w:pPr>
      <w:r>
        <w:rPr>
          <w:rFonts w:ascii="Arial" w:hAnsi="Arial"/>
          <w:color w:val="334155"/>
          <w:sz w:val="19"/>
        </w:rPr>
        <w:t>Food composition data contain multiple interacting nutritional attributes, including energy, protein, carbohydrates, total fat, dietary fiber, free sugars, and sodium. Providing structured access to food nutrition and dietary suggestions is essential for nutritional awareness and diet planning. However, existing public machine-learning benchmarks rely almost exclusively on western food composition databases such as USDA FoodData Central, limiting their relevance for regional diets such as Indian cuisine.</w:t>
      </w:r>
    </w:p>
    <w:p>
      <w:pPr>
        <w:spacing w:after="120" w:line="276" w:lineRule="auto"/>
      </w:pPr>
      <w:r>
        <w:rPr>
          <w:rFonts w:ascii="Arial" w:hAnsi="Arial"/>
          <w:color w:val="334155"/>
          <w:sz w:val="19"/>
        </w:rPr>
        <w:t>This study treats food nutrition analysis as both a machine-learning problem and a data-engineering problem. We unify international food records with representative Indian dishes and composite meals, perform automated schema normalization, deduplication, and quality profiling, and build supervised regression, classification, and recommendation models.</w:t>
      </w:r>
    </w:p>
    <w:p>
      <w:pPr>
        <w:spacing w:before="280" w:after="120"/>
      </w:pPr>
      <w:r>
        <w:rPr>
          <w:rFonts w:ascii="Arial" w:hAnsi="Arial"/>
          <w:b/>
          <w:color w:val="1E3A8A"/>
          <w:sz w:val="24"/>
        </w:rPr>
        <w:t>II. PROBLEM STATEMENT &amp; AIM</w:t>
      </w:r>
    </w:p>
    <w:p>
      <w:pPr>
        <w:spacing w:after="120" w:line="276" w:lineRule="auto"/>
      </w:pPr>
      <w:r>
        <w:rPr>
          <w:rFonts w:ascii="Arial" w:hAnsi="Arial"/>
          <w:color w:val="334155"/>
          <w:sz w:val="19"/>
        </w:rPr>
        <w:t>While public food databases contain vast nutritional information, users and students face challenges comparing heterogeneous schemas, filtering by nutritional bounds, or receiving culturally relevant recommendations for Indian dishes and meals. The primary aim of this research is to build a reproducible, multi-source Python machine-learning system that integrates Indian food composition data with general reference databases.</w:t>
      </w:r>
    </w:p>
    <w:p>
      <w:pPr>
        <w:spacing w:after="120" w:line="276" w:lineRule="auto"/>
      </w:pPr>
      <w:r>
        <w:rPr>
          <w:rFonts w:ascii="Arial" w:hAnsi="Arial"/>
          <w:color w:val="334155"/>
          <w:sz w:val="19"/>
        </w:rPr>
        <w:t>Specific Objectives Include:</w:t>
      </w:r>
    </w:p>
    <w:p>
      <w:pPr>
        <w:spacing w:after="120" w:line="276" w:lineRule="auto"/>
      </w:pPr>
      <w:r>
        <w:rPr>
          <w:rFonts w:ascii="Arial" w:hAnsi="Arial"/>
          <w:b/>
          <w:color w:val="0F172A"/>
          <w:sz w:val="19"/>
        </w:rPr>
        <w:t xml:space="preserve">• </w:t>
      </w:r>
      <w:r>
        <w:rPr>
          <w:rFonts w:ascii="Arial" w:hAnsi="Arial"/>
          <w:color w:val="334155"/>
          <w:sz w:val="19"/>
        </w:rPr>
        <w:t>1. Acquire and unify food records across USDA SR Legacy, Open Food Facts (India, USA, UK), and Indian Food Composition Data.</w:t>
      </w:r>
    </w:p>
    <w:p>
      <w:pPr>
        <w:spacing w:after="120" w:line="276" w:lineRule="auto"/>
      </w:pPr>
      <w:r>
        <w:rPr>
          <w:rFonts w:ascii="Arial" w:hAnsi="Arial"/>
          <w:b/>
          <w:color w:val="0F172A"/>
          <w:sz w:val="19"/>
        </w:rPr>
        <w:t xml:space="preserve">• </w:t>
      </w:r>
      <w:r>
        <w:rPr>
          <w:rFonts w:ascii="Arial" w:hAnsi="Arial"/>
          <w:color w:val="334155"/>
          <w:sz w:val="19"/>
        </w:rPr>
        <w:t>2. Construct a Composite Indian Meal dataset (200 recipes) using exact ingredient weight contributions.</w:t>
      </w:r>
    </w:p>
    <w:p>
      <w:pPr>
        <w:spacing w:after="120" w:line="276" w:lineRule="auto"/>
      </w:pPr>
      <w:r>
        <w:rPr>
          <w:rFonts w:ascii="Arial" w:hAnsi="Arial"/>
          <w:b/>
          <w:color w:val="0F172A"/>
          <w:sz w:val="19"/>
        </w:rPr>
        <w:t xml:space="preserve">• </w:t>
      </w:r>
      <w:r>
        <w:rPr>
          <w:rFonts w:ascii="Arial" w:hAnsi="Arial"/>
          <w:color w:val="334155"/>
          <w:sz w:val="19"/>
        </w:rPr>
        <w:t>3. Formulate transparent 1st–99th percentile normalized Nutritional Quality Scores (Low, Medium, High).</w:t>
      </w:r>
    </w:p>
    <w:p>
      <w:pPr>
        <w:spacing w:after="120" w:line="276" w:lineRule="auto"/>
      </w:pPr>
      <w:r>
        <w:rPr>
          <w:rFonts w:ascii="Arial" w:hAnsi="Arial"/>
          <w:b/>
          <w:color w:val="0F172A"/>
          <w:sz w:val="19"/>
        </w:rPr>
        <w:t xml:space="preserve">• </w:t>
      </w:r>
      <w:r>
        <w:rPr>
          <w:rFonts w:ascii="Arial" w:hAnsi="Arial"/>
          <w:color w:val="334155"/>
          <w:sz w:val="19"/>
        </w:rPr>
        <w:t>4. Evaluate supervised regression for protein prediction and supervised classification for quality grading across Baseline and Expanded datasets.</w:t>
      </w:r>
    </w:p>
    <w:p>
      <w:pPr>
        <w:spacing w:after="120" w:line="276" w:lineRule="auto"/>
      </w:pPr>
      <w:r>
        <w:rPr>
          <w:rFonts w:ascii="Arial" w:hAnsi="Arial"/>
          <w:b/>
          <w:color w:val="0F172A"/>
          <w:sz w:val="19"/>
        </w:rPr>
        <w:t xml:space="preserve">• </w:t>
      </w:r>
      <w:r>
        <w:rPr>
          <w:rFonts w:ascii="Arial" w:hAnsi="Arial"/>
          <w:color w:val="334155"/>
          <w:sz w:val="19"/>
        </w:rPr>
        <w:t>5. Implement vector cosine similarity recommendation with hard numerical constraints and natural language explanations.</w:t>
      </w:r>
    </w:p>
    <w:p>
      <w:pPr>
        <w:spacing w:before="280" w:after="120"/>
      </w:pPr>
      <w:r>
        <w:rPr>
          <w:rFonts w:ascii="Arial" w:hAnsi="Arial"/>
          <w:b/>
          <w:color w:val="1E3A8A"/>
          <w:sz w:val="24"/>
        </w:rPr>
        <w:t>III. MATERIALS AND METHODS</w:t>
      </w:r>
    </w:p>
    <w:p>
      <w:pPr>
        <w:spacing w:before="200" w:after="80"/>
      </w:pPr>
      <w:r>
        <w:rPr>
          <w:rFonts w:ascii="Arial" w:hAnsi="Arial"/>
          <w:b/>
          <w:color w:val="0F172A"/>
          <w:sz w:val="21"/>
        </w:rPr>
        <w:t>A. Multi-Source Ingestion &amp; Record Distribution</w:t>
      </w:r>
    </w:p>
    <w:p>
      <w:pPr>
        <w:spacing w:after="120" w:line="276" w:lineRule="auto"/>
      </w:pPr>
      <w:r>
        <w:rPr>
          <w:rFonts w:ascii="Arial" w:hAnsi="Arial"/>
          <w:color w:val="334155"/>
          <w:sz w:val="19"/>
        </w:rPr>
        <w:t>The pipeline unifies 8,411 clean records from three primary resources. Table I details the final ingested dataset breakdown.</w:t>
      </w:r>
    </w:p>
    <w:tbl>
      <w:tblPr>
        <w:tblW w:type="auto" w:w="0"/>
        <w:jc w:val="center"/>
        <w:tblLook w:firstColumn="1" w:firstRow="1" w:lastColumn="0" w:lastRow="0" w:noHBand="0" w:noVBand="1" w:val="04A0"/>
      </w:tblPr>
      <w:tblGrid>
        <w:gridCol w:w="2520"/>
        <w:gridCol w:w="2520"/>
        <w:gridCol w:w="2520"/>
        <w:gridCol w:w="2520"/>
      </w:tblGrid>
      <w:tr>
        <w:tc>
          <w:tcPr>
            <w:tcW w:type="dxa" w:w="2520"/>
            <w:shd w:fill="1E3A8A"/>
          </w:tcPr>
          <w:p>
            <w:pPr>
              <w:jc w:val="center"/>
            </w:pPr>
            <w:r>
              <w:rPr>
                <w:rFonts w:ascii="Arial" w:hAnsi="Arial"/>
                <w:b/>
                <w:color w:val="FFFFFF"/>
                <w:sz w:val="17"/>
              </w:rPr>
              <w:t>Data Source</w:t>
            </w:r>
          </w:p>
        </w:tc>
        <w:tc>
          <w:tcPr>
            <w:tcW w:type="dxa" w:w="2520"/>
            <w:shd w:fill="1E3A8A"/>
          </w:tcPr>
          <w:p>
            <w:pPr>
              <w:jc w:val="center"/>
            </w:pPr>
            <w:r>
              <w:rPr>
                <w:rFonts w:ascii="Arial" w:hAnsi="Arial"/>
                <w:b/>
                <w:color w:val="FFFFFF"/>
                <w:sz w:val="17"/>
              </w:rPr>
              <w:t>Collection Scope</w:t>
            </w:r>
          </w:p>
        </w:tc>
        <w:tc>
          <w:tcPr>
            <w:tcW w:type="dxa" w:w="2520"/>
            <w:shd w:fill="1E3A8A"/>
          </w:tcPr>
          <w:p>
            <w:pPr>
              <w:jc w:val="center"/>
            </w:pPr>
            <w:r>
              <w:rPr>
                <w:rFonts w:ascii="Arial" w:hAnsi="Arial"/>
                <w:b/>
                <w:color w:val="FFFFFF"/>
                <w:sz w:val="17"/>
              </w:rPr>
              <w:t>Raw Records</w:t>
            </w:r>
          </w:p>
        </w:tc>
        <w:tc>
          <w:tcPr>
            <w:tcW w:type="dxa" w:w="2520"/>
            <w:shd w:fill="1E3A8A"/>
          </w:tcPr>
          <w:p>
            <w:pPr>
              <w:jc w:val="center"/>
            </w:pPr>
            <w:r>
              <w:rPr>
                <w:rFonts w:ascii="Arial" w:hAnsi="Arial"/>
                <w:b/>
                <w:color w:val="FFFFFF"/>
                <w:sz w:val="17"/>
              </w:rPr>
              <w:t>Clean Final Records</w:t>
            </w:r>
          </w:p>
        </w:tc>
      </w:tr>
      <w:tr>
        <w:tc>
          <w:tcPr>
            <w:tcW w:type="dxa" w:w="2520"/>
            <w:shd w:fill="F8FAFC"/>
          </w:tcPr>
          <w:p>
            <w:r>
              <w:rPr>
                <w:rFonts w:ascii="Arial" w:hAnsi="Arial"/>
                <w:color w:val="1E293B"/>
                <w:sz w:val="17"/>
              </w:rPr>
              <w:t>USDA FoodData Central SR Legacy</w:t>
            </w:r>
          </w:p>
        </w:tc>
        <w:tc>
          <w:tcPr>
            <w:tcW w:type="dxa" w:w="2520"/>
            <w:shd w:fill="F8FAFC"/>
          </w:tcPr>
          <w:p>
            <w:r>
              <w:rPr>
                <w:rFonts w:ascii="Arial" w:hAnsi="Arial"/>
                <w:color w:val="1E293B"/>
                <w:sz w:val="17"/>
              </w:rPr>
              <w:t>Reference / Global</w:t>
            </w:r>
          </w:p>
        </w:tc>
        <w:tc>
          <w:tcPr>
            <w:tcW w:type="dxa" w:w="2520"/>
            <w:shd w:fill="F8FAFC"/>
          </w:tcPr>
          <w:p>
            <w:r>
              <w:rPr>
                <w:rFonts w:ascii="Arial" w:hAnsi="Arial"/>
                <w:color w:val="1E293B"/>
                <w:sz w:val="17"/>
              </w:rPr>
              <w:t>7,793</w:t>
            </w:r>
          </w:p>
        </w:tc>
        <w:tc>
          <w:tcPr>
            <w:tcW w:type="dxa" w:w="2520"/>
            <w:shd w:fill="F8FAFC"/>
          </w:tcPr>
          <w:p>
            <w:r>
              <w:rPr>
                <w:rFonts w:ascii="Arial" w:hAnsi="Arial"/>
                <w:color w:val="1E293B"/>
                <w:sz w:val="17"/>
              </w:rPr>
              <w:t>7,301</w:t>
            </w:r>
          </w:p>
        </w:tc>
      </w:tr>
      <w:tr>
        <w:tc>
          <w:tcPr>
            <w:tcW w:type="dxa" w:w="2520"/>
            <w:shd w:fill="FFFFFF"/>
          </w:tcPr>
          <w:p>
            <w:r>
              <w:rPr>
                <w:rFonts w:ascii="Arial" w:hAnsi="Arial"/>
                <w:color w:val="1E293B"/>
                <w:sz w:val="17"/>
              </w:rPr>
              <w:t>Open Food Facts</w:t>
            </w:r>
          </w:p>
        </w:tc>
        <w:tc>
          <w:tcPr>
            <w:tcW w:type="dxa" w:w="2520"/>
            <w:shd w:fill="FFFFFF"/>
          </w:tcPr>
          <w:p>
            <w:r>
              <w:rPr>
                <w:rFonts w:ascii="Arial" w:hAnsi="Arial"/>
                <w:color w:val="1E293B"/>
                <w:sz w:val="17"/>
              </w:rPr>
              <w:t>India, USA, UK Barcodes</w:t>
            </w:r>
          </w:p>
        </w:tc>
        <w:tc>
          <w:tcPr>
            <w:tcW w:type="dxa" w:w="2520"/>
            <w:shd w:fill="FFFFFF"/>
          </w:tcPr>
          <w:p>
            <w:r>
              <w:rPr>
                <w:rFonts w:ascii="Arial" w:hAnsi="Arial"/>
                <w:color w:val="1E293B"/>
                <w:sz w:val="17"/>
              </w:rPr>
              <w:t>100</w:t>
            </w:r>
          </w:p>
        </w:tc>
        <w:tc>
          <w:tcPr>
            <w:tcW w:type="dxa" w:w="2520"/>
            <w:shd w:fill="FFFFFF"/>
          </w:tcPr>
          <w:p>
            <w:r>
              <w:rPr>
                <w:rFonts w:ascii="Arial" w:hAnsi="Arial"/>
                <w:color w:val="1E293B"/>
                <w:sz w:val="17"/>
              </w:rPr>
              <w:t>96</w:t>
            </w:r>
          </w:p>
        </w:tc>
      </w:tr>
      <w:tr>
        <w:tc>
          <w:tcPr>
            <w:tcW w:type="dxa" w:w="2520"/>
            <w:shd w:fill="F8FAFC"/>
          </w:tcPr>
          <w:p>
            <w:r>
              <w:rPr>
                <w:rFonts w:ascii="Arial" w:hAnsi="Arial"/>
                <w:color w:val="1E293B"/>
                <w:sz w:val="17"/>
              </w:rPr>
              <w:t>Indian Food Composition Data</w:t>
            </w:r>
          </w:p>
        </w:tc>
        <w:tc>
          <w:tcPr>
            <w:tcW w:type="dxa" w:w="2520"/>
            <w:shd w:fill="F8FAFC"/>
          </w:tcPr>
          <w:p>
            <w:r>
              <w:rPr>
                <w:rFonts w:ascii="Arial" w:hAnsi="Arial"/>
                <w:color w:val="1E293B"/>
                <w:sz w:val="17"/>
              </w:rPr>
              <w:t>Representative Dishes</w:t>
            </w:r>
          </w:p>
        </w:tc>
        <w:tc>
          <w:tcPr>
            <w:tcW w:type="dxa" w:w="2520"/>
            <w:shd w:fill="F8FAFC"/>
          </w:tcPr>
          <w:p>
            <w:r>
              <w:rPr>
                <w:rFonts w:ascii="Arial" w:hAnsi="Arial"/>
                <w:color w:val="1E293B"/>
                <w:sz w:val="17"/>
              </w:rPr>
              <w:t>1,014</w:t>
            </w:r>
          </w:p>
        </w:tc>
        <w:tc>
          <w:tcPr>
            <w:tcW w:type="dxa" w:w="2520"/>
            <w:shd w:fill="F8FAFC"/>
          </w:tcPr>
          <w:p>
            <w:r>
              <w:rPr>
                <w:rFonts w:ascii="Arial" w:hAnsi="Arial"/>
                <w:color w:val="1E293B"/>
                <w:sz w:val="17"/>
              </w:rPr>
              <w:t>1,014</w:t>
            </w:r>
          </w:p>
        </w:tc>
      </w:tr>
      <w:tr>
        <w:tc>
          <w:tcPr>
            <w:tcW w:type="dxa" w:w="2520"/>
            <w:shd w:fill="FFFFFF"/>
          </w:tcPr>
          <w:p>
            <w:r>
              <w:rPr>
                <w:rFonts w:ascii="Arial" w:hAnsi="Arial"/>
                <w:color w:val="1E293B"/>
                <w:sz w:val="17"/>
              </w:rPr>
              <w:t>Total Unified Analytical Dataset</w:t>
            </w:r>
          </w:p>
        </w:tc>
        <w:tc>
          <w:tcPr>
            <w:tcW w:type="dxa" w:w="2520"/>
            <w:shd w:fill="FFFFFF"/>
          </w:tcPr>
          <w:p>
            <w:r>
              <w:rPr>
                <w:rFonts w:ascii="Arial" w:hAnsi="Arial"/>
                <w:color w:val="1E293B"/>
                <w:sz w:val="17"/>
              </w:rPr>
              <w:t>Multi-Source Combined</w:t>
            </w:r>
          </w:p>
        </w:tc>
        <w:tc>
          <w:tcPr>
            <w:tcW w:type="dxa" w:w="2520"/>
            <w:shd w:fill="FFFFFF"/>
          </w:tcPr>
          <w:p>
            <w:r>
              <w:rPr>
                <w:rFonts w:ascii="Arial" w:hAnsi="Arial"/>
                <w:color w:val="1E293B"/>
                <w:sz w:val="17"/>
              </w:rPr>
              <w:t>8,907</w:t>
            </w:r>
          </w:p>
        </w:tc>
        <w:tc>
          <w:tcPr>
            <w:tcW w:type="dxa" w:w="2520"/>
            <w:shd w:fill="FFFFFF"/>
          </w:tcPr>
          <w:p>
            <w:r>
              <w:rPr>
                <w:rFonts w:ascii="Arial" w:hAnsi="Arial"/>
                <w:color w:val="1E293B"/>
                <w:sz w:val="17"/>
              </w:rPr>
              <w:t>8,411</w:t>
            </w:r>
          </w:p>
        </w:tc>
      </w:tr>
    </w:tbl>
    <w:p>
      <w:pPr>
        <w:spacing w:before="200" w:after="80"/>
      </w:pPr>
      <w:r>
        <w:rPr>
          <w:rFonts w:ascii="Arial" w:hAnsi="Arial"/>
          <w:b/>
          <w:color w:val="0F172A"/>
          <w:sz w:val="21"/>
        </w:rPr>
        <w:t>B. Composite Indian Meal Construction</w:t>
      </w:r>
    </w:p>
    <w:p>
      <w:pPr>
        <w:spacing w:after="120" w:line="276" w:lineRule="auto"/>
      </w:pPr>
      <w:r>
        <w:rPr>
          <w:rFonts w:ascii="Arial" w:hAnsi="Arial"/>
          <w:color w:val="334155"/>
          <w:sz w:val="19"/>
        </w:rPr>
        <w:t>To compute complete meal nutrition, 200 composite meal recipes (e.g., Matar Paneer with Paneer Butter Sauce) were generated. Ingredient names were normalized using token matching (match_recipe_ingredient), and nutrient values were aggregated using the weighted summation formula:</w:t>
      </w:r>
    </w:p>
    <w:p>
      <w:pPr>
        <w:spacing w:after="120" w:line="276" w:lineRule="auto"/>
      </w:pPr>
      <w:r>
        <w:rPr>
          <w:rFonts w:ascii="Arial" w:hAnsi="Arial"/>
          <w:b/>
          <w:color w:val="0F172A"/>
          <w:sz w:val="19"/>
        </w:rPr>
        <w:t xml:space="preserve">Formula: </w:t>
      </w:r>
      <w:r>
        <w:rPr>
          <w:rFonts w:ascii="Arial" w:hAnsi="Arial"/>
          <w:color w:val="334155"/>
          <w:sz w:val="19"/>
        </w:rPr>
        <w:t>Meal_Nutrient = SUM [ (Weight_i / 100) * Ingredient_Nutrient_100g ]</w:t>
      </w:r>
    </w:p>
    <w:p>
      <w:pPr>
        <w:spacing w:before="200" w:after="80"/>
      </w:pPr>
      <w:r>
        <w:rPr>
          <w:rFonts w:ascii="Arial" w:hAnsi="Arial"/>
          <w:b/>
          <w:color w:val="0F172A"/>
          <w:sz w:val="21"/>
        </w:rPr>
        <w:t>C. Supervised Learning Pipelines</w:t>
      </w:r>
    </w:p>
    <w:p>
      <w:pPr>
        <w:spacing w:after="120" w:line="276" w:lineRule="auto"/>
      </w:pPr>
      <w:r>
        <w:rPr>
          <w:rFonts w:ascii="Arial" w:hAnsi="Arial"/>
          <w:color w:val="334155"/>
          <w:sz w:val="19"/>
        </w:rPr>
        <w:t>Models were built using Scikit-Learn Pipelines incorporating SimpleImputer (median strategy) to prevent train/test data leakage. Protein regression evaluated Linear Regression, Random Forest Regressor, and Gradient Boosting Regressor. Quality classification evaluated Logistic Regression, Random Forest Classifier, and Gradient Boosting Classifier across Low, Medium, and High quality labels.</w:t>
      </w:r>
    </w:p>
    <w:p>
      <w:pPr>
        <w:spacing w:before="280" w:after="120"/>
      </w:pPr>
      <w:r>
        <w:rPr>
          <w:rFonts w:ascii="Arial" w:hAnsi="Arial"/>
          <w:b/>
          <w:color w:val="1E3A8A"/>
          <w:sz w:val="24"/>
        </w:rPr>
        <w:t>IV. EXPERIMENTAL RESULTS &amp; MODEL EVALUATION</w:t>
      </w:r>
    </w:p>
    <w:p>
      <w:pPr>
        <w:spacing w:after="120" w:line="276" w:lineRule="auto"/>
      </w:pPr>
      <w:r>
        <w:rPr>
          <w:rFonts w:ascii="Arial" w:hAnsi="Arial"/>
          <w:color w:val="334155"/>
          <w:sz w:val="19"/>
        </w:rPr>
        <w:t>To assess the contribution of Indian data integration, models were evaluated under two experimental settings: Baseline (General International Data Only) vs. Expanded (General + Indian Food Data).</w:t>
      </w:r>
    </w:p>
    <w:p>
      <w:pPr>
        <w:spacing w:before="200" w:after="80"/>
      </w:pPr>
      <w:r>
        <w:rPr>
          <w:rFonts w:ascii="Arial" w:hAnsi="Arial"/>
          <w:b/>
          <w:color w:val="0F172A"/>
          <w:sz w:val="21"/>
        </w:rPr>
        <w:t>Table II. Regression Model Performance (Target: protein_g per 100g)</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0F766E"/>
          </w:tcPr>
          <w:p>
            <w:pPr>
              <w:jc w:val="center"/>
            </w:pPr>
            <w:r>
              <w:rPr>
                <w:rFonts w:ascii="Arial" w:hAnsi="Arial"/>
                <w:b/>
                <w:color w:val="FFFFFF"/>
                <w:sz w:val="17"/>
              </w:rPr>
              <w:t>Experiment</w:t>
            </w:r>
          </w:p>
        </w:tc>
        <w:tc>
          <w:tcPr>
            <w:tcW w:type="dxa" w:w="2016"/>
            <w:shd w:fill="0F766E"/>
          </w:tcPr>
          <w:p>
            <w:pPr>
              <w:jc w:val="center"/>
            </w:pPr>
            <w:r>
              <w:rPr>
                <w:rFonts w:ascii="Arial" w:hAnsi="Arial"/>
                <w:b/>
                <w:color w:val="FFFFFF"/>
                <w:sz w:val="17"/>
              </w:rPr>
              <w:t>Model</w:t>
            </w:r>
          </w:p>
        </w:tc>
        <w:tc>
          <w:tcPr>
            <w:tcW w:type="dxa" w:w="2016"/>
            <w:shd w:fill="0F766E"/>
          </w:tcPr>
          <w:p>
            <w:pPr>
              <w:jc w:val="center"/>
            </w:pPr>
            <w:r>
              <w:rPr>
                <w:rFonts w:ascii="Arial" w:hAnsi="Arial"/>
                <w:b/>
                <w:color w:val="FFFFFF"/>
                <w:sz w:val="17"/>
              </w:rPr>
              <w:t>MAE (g)</w:t>
            </w:r>
          </w:p>
        </w:tc>
        <w:tc>
          <w:tcPr>
            <w:tcW w:type="dxa" w:w="2016"/>
            <w:shd w:fill="0F766E"/>
          </w:tcPr>
          <w:p>
            <w:pPr>
              <w:jc w:val="center"/>
            </w:pPr>
            <w:r>
              <w:rPr>
                <w:rFonts w:ascii="Arial" w:hAnsi="Arial"/>
                <w:b/>
                <w:color w:val="FFFFFF"/>
                <w:sz w:val="17"/>
              </w:rPr>
              <w:t>RMSE (g)</w:t>
            </w:r>
          </w:p>
        </w:tc>
        <w:tc>
          <w:tcPr>
            <w:tcW w:type="dxa" w:w="2016"/>
            <w:shd w:fill="0F766E"/>
          </w:tcPr>
          <w:p>
            <w:pPr>
              <w:jc w:val="center"/>
            </w:pPr>
            <w:r>
              <w:rPr>
                <w:rFonts w:ascii="Arial" w:hAnsi="Arial"/>
                <w:b/>
                <w:color w:val="FFFFFF"/>
                <w:sz w:val="17"/>
              </w:rPr>
              <w:t>R² Score</w:t>
            </w:r>
          </w:p>
        </w:tc>
      </w:tr>
      <w:tr>
        <w:tc>
          <w:tcPr>
            <w:tcW w:type="dxa" w:w="2016"/>
            <w:shd w:fill="F8FAFC"/>
          </w:tcPr>
          <w:p>
            <w:r>
              <w:rPr>
                <w:rFonts w:ascii="Arial" w:hAnsi="Arial"/>
                <w:color w:val="1E293B"/>
                <w:sz w:val="17"/>
              </w:rPr>
              <w:t>Baseline (General Data)</w:t>
            </w:r>
          </w:p>
        </w:tc>
        <w:tc>
          <w:tcPr>
            <w:tcW w:type="dxa" w:w="2016"/>
            <w:shd w:fill="F8FAFC"/>
          </w:tcPr>
          <w:p>
            <w:r>
              <w:rPr>
                <w:rFonts w:ascii="Arial" w:hAnsi="Arial"/>
                <w:color w:val="1E293B"/>
                <w:sz w:val="17"/>
              </w:rPr>
              <w:t>Linear Regression</w:t>
            </w:r>
          </w:p>
        </w:tc>
        <w:tc>
          <w:tcPr>
            <w:tcW w:type="dxa" w:w="2016"/>
            <w:shd w:fill="F8FAFC"/>
          </w:tcPr>
          <w:p>
            <w:r>
              <w:rPr>
                <w:rFonts w:ascii="Arial" w:hAnsi="Arial"/>
                <w:color w:val="1E293B"/>
                <w:sz w:val="17"/>
              </w:rPr>
              <w:t>12.7623</w:t>
            </w:r>
          </w:p>
        </w:tc>
        <w:tc>
          <w:tcPr>
            <w:tcW w:type="dxa" w:w="2016"/>
            <w:shd w:fill="F8FAFC"/>
          </w:tcPr>
          <w:p>
            <w:r>
              <w:rPr>
                <w:rFonts w:ascii="Arial" w:hAnsi="Arial"/>
                <w:color w:val="1E293B"/>
                <w:sz w:val="17"/>
              </w:rPr>
              <w:t>29.4014</w:t>
            </w:r>
          </w:p>
        </w:tc>
        <w:tc>
          <w:tcPr>
            <w:tcW w:type="dxa" w:w="2016"/>
            <w:shd w:fill="F8FAFC"/>
          </w:tcPr>
          <w:p>
            <w:r>
              <w:rPr>
                <w:rFonts w:ascii="Arial" w:hAnsi="Arial"/>
                <w:color w:val="1E293B"/>
                <w:sz w:val="17"/>
              </w:rPr>
              <w:t>-57.0111</w:t>
            </w:r>
          </w:p>
        </w:tc>
      </w:tr>
      <w:tr>
        <w:tc>
          <w:tcPr>
            <w:tcW w:type="dxa" w:w="2016"/>
            <w:shd w:fill="FFFFFF"/>
          </w:tcPr>
          <w:p>
            <w:r>
              <w:rPr>
                <w:rFonts w:ascii="Arial" w:hAnsi="Arial"/>
                <w:color w:val="1E293B"/>
                <w:sz w:val="17"/>
              </w:rPr>
              <w:t>Baseline (General Data)</w:t>
            </w:r>
          </w:p>
        </w:tc>
        <w:tc>
          <w:tcPr>
            <w:tcW w:type="dxa" w:w="2016"/>
            <w:shd w:fill="FFFFFF"/>
          </w:tcPr>
          <w:p>
            <w:r>
              <w:rPr>
                <w:rFonts w:ascii="Arial" w:hAnsi="Arial"/>
                <w:color w:val="1E293B"/>
                <w:sz w:val="17"/>
              </w:rPr>
              <w:t>Random Forest Regressor</w:t>
            </w:r>
          </w:p>
        </w:tc>
        <w:tc>
          <w:tcPr>
            <w:tcW w:type="dxa" w:w="2016"/>
            <w:shd w:fill="FFFFFF"/>
          </w:tcPr>
          <w:p>
            <w:r>
              <w:rPr>
                <w:rFonts w:ascii="Arial" w:hAnsi="Arial"/>
                <w:color w:val="1E293B"/>
                <w:sz w:val="17"/>
              </w:rPr>
              <w:t>1.4093</w:t>
            </w:r>
          </w:p>
        </w:tc>
        <w:tc>
          <w:tcPr>
            <w:tcW w:type="dxa" w:w="2016"/>
            <w:shd w:fill="FFFFFF"/>
          </w:tcPr>
          <w:p>
            <w:r>
              <w:rPr>
                <w:rFonts w:ascii="Arial" w:hAnsi="Arial"/>
                <w:color w:val="1E293B"/>
                <w:sz w:val="17"/>
              </w:rPr>
              <w:t>1.7368</w:t>
            </w:r>
          </w:p>
        </w:tc>
        <w:tc>
          <w:tcPr>
            <w:tcW w:type="dxa" w:w="2016"/>
            <w:shd w:fill="FFFFFF"/>
          </w:tcPr>
          <w:p>
            <w:r>
              <w:rPr>
                <w:rFonts w:ascii="Arial" w:hAnsi="Arial"/>
                <w:color w:val="1E293B"/>
                <w:sz w:val="17"/>
              </w:rPr>
              <w:t>0.7976</w:t>
            </w:r>
          </w:p>
        </w:tc>
      </w:tr>
      <w:tr>
        <w:tc>
          <w:tcPr>
            <w:tcW w:type="dxa" w:w="2016"/>
            <w:shd w:fill="F8FAFC"/>
          </w:tcPr>
          <w:p>
            <w:r>
              <w:rPr>
                <w:rFonts w:ascii="Arial" w:hAnsi="Arial"/>
                <w:color w:val="1E293B"/>
                <w:sz w:val="17"/>
              </w:rPr>
              <w:t>Baseline (General Data)</w:t>
            </w:r>
          </w:p>
        </w:tc>
        <w:tc>
          <w:tcPr>
            <w:tcW w:type="dxa" w:w="2016"/>
            <w:shd w:fill="F8FAFC"/>
          </w:tcPr>
          <w:p>
            <w:r>
              <w:rPr>
                <w:rFonts w:ascii="Arial" w:hAnsi="Arial"/>
                <w:color w:val="1E293B"/>
                <w:sz w:val="17"/>
              </w:rPr>
              <w:t>Gradient Boosting Regressor</w:t>
            </w:r>
          </w:p>
        </w:tc>
        <w:tc>
          <w:tcPr>
            <w:tcW w:type="dxa" w:w="2016"/>
            <w:shd w:fill="F8FAFC"/>
          </w:tcPr>
          <w:p>
            <w:r>
              <w:rPr>
                <w:rFonts w:ascii="Arial" w:hAnsi="Arial"/>
                <w:color w:val="1E293B"/>
                <w:sz w:val="17"/>
              </w:rPr>
              <w:t>1.8163</w:t>
            </w:r>
          </w:p>
        </w:tc>
        <w:tc>
          <w:tcPr>
            <w:tcW w:type="dxa" w:w="2016"/>
            <w:shd w:fill="F8FAFC"/>
          </w:tcPr>
          <w:p>
            <w:r>
              <w:rPr>
                <w:rFonts w:ascii="Arial" w:hAnsi="Arial"/>
                <w:color w:val="1E293B"/>
                <w:sz w:val="17"/>
              </w:rPr>
              <w:t>2.4394</w:t>
            </w:r>
          </w:p>
        </w:tc>
        <w:tc>
          <w:tcPr>
            <w:tcW w:type="dxa" w:w="2016"/>
            <w:shd w:fill="F8FAFC"/>
          </w:tcPr>
          <w:p>
            <w:r>
              <w:rPr>
                <w:rFonts w:ascii="Arial" w:hAnsi="Arial"/>
                <w:color w:val="1E293B"/>
                <w:sz w:val="17"/>
              </w:rPr>
              <w:t>0.6007</w:t>
            </w:r>
          </w:p>
        </w:tc>
      </w:tr>
      <w:tr>
        <w:tc>
          <w:tcPr>
            <w:tcW w:type="dxa" w:w="2016"/>
            <w:shd w:fill="FFFFFF"/>
          </w:tcPr>
          <w:p>
            <w:r>
              <w:rPr>
                <w:rFonts w:ascii="Arial" w:hAnsi="Arial"/>
                <w:color w:val="1E293B"/>
                <w:sz w:val="17"/>
              </w:rPr>
              <w:t>Expanded (General + Indian)</w:t>
            </w:r>
          </w:p>
        </w:tc>
        <w:tc>
          <w:tcPr>
            <w:tcW w:type="dxa" w:w="2016"/>
            <w:shd w:fill="FFFFFF"/>
          </w:tcPr>
          <w:p>
            <w:r>
              <w:rPr>
                <w:rFonts w:ascii="Arial" w:hAnsi="Arial"/>
                <w:color w:val="1E293B"/>
                <w:sz w:val="17"/>
              </w:rPr>
              <w:t>Linear Regression</w:t>
            </w:r>
          </w:p>
        </w:tc>
        <w:tc>
          <w:tcPr>
            <w:tcW w:type="dxa" w:w="2016"/>
            <w:shd w:fill="FFFFFF"/>
          </w:tcPr>
          <w:p>
            <w:r>
              <w:rPr>
                <w:rFonts w:ascii="Arial" w:hAnsi="Arial"/>
                <w:color w:val="1E293B"/>
                <w:sz w:val="17"/>
              </w:rPr>
              <w:t>2.2584</w:t>
            </w:r>
          </w:p>
        </w:tc>
        <w:tc>
          <w:tcPr>
            <w:tcW w:type="dxa" w:w="2016"/>
            <w:shd w:fill="FFFFFF"/>
          </w:tcPr>
          <w:p>
            <w:r>
              <w:rPr>
                <w:rFonts w:ascii="Arial" w:hAnsi="Arial"/>
                <w:color w:val="1E293B"/>
                <w:sz w:val="17"/>
              </w:rPr>
              <w:t>3.1884</w:t>
            </w:r>
          </w:p>
        </w:tc>
        <w:tc>
          <w:tcPr>
            <w:tcW w:type="dxa" w:w="2016"/>
            <w:shd w:fill="FFFFFF"/>
          </w:tcPr>
          <w:p>
            <w:r>
              <w:rPr>
                <w:rFonts w:ascii="Arial" w:hAnsi="Arial"/>
                <w:color w:val="1E293B"/>
                <w:sz w:val="17"/>
              </w:rPr>
              <w:t>0.2364</w:t>
            </w:r>
          </w:p>
        </w:tc>
      </w:tr>
      <w:tr>
        <w:tc>
          <w:tcPr>
            <w:tcW w:type="dxa" w:w="2016"/>
            <w:shd w:fill="F8FAFC"/>
          </w:tcPr>
          <w:p>
            <w:r>
              <w:rPr>
                <w:rFonts w:ascii="Arial" w:hAnsi="Arial"/>
                <w:color w:val="1E293B"/>
                <w:sz w:val="17"/>
              </w:rPr>
              <w:t>Expanded (General + Indian)</w:t>
            </w:r>
          </w:p>
        </w:tc>
        <w:tc>
          <w:tcPr>
            <w:tcW w:type="dxa" w:w="2016"/>
            <w:shd w:fill="F8FAFC"/>
          </w:tcPr>
          <w:p>
            <w:r>
              <w:rPr>
                <w:rFonts w:ascii="Arial" w:hAnsi="Arial"/>
                <w:color w:val="1E293B"/>
                <w:sz w:val="17"/>
              </w:rPr>
              <w:t>Random Forest Regressor</w:t>
            </w:r>
          </w:p>
        </w:tc>
        <w:tc>
          <w:tcPr>
            <w:tcW w:type="dxa" w:w="2016"/>
            <w:shd w:fill="F8FAFC"/>
          </w:tcPr>
          <w:p>
            <w:r>
              <w:rPr>
                <w:rFonts w:ascii="Arial" w:hAnsi="Arial"/>
                <w:color w:val="1E293B"/>
                <w:sz w:val="17"/>
              </w:rPr>
              <w:t>1.3304</w:t>
            </w:r>
          </w:p>
        </w:tc>
        <w:tc>
          <w:tcPr>
            <w:tcW w:type="dxa" w:w="2016"/>
            <w:shd w:fill="F8FAFC"/>
          </w:tcPr>
          <w:p>
            <w:r>
              <w:rPr>
                <w:rFonts w:ascii="Arial" w:hAnsi="Arial"/>
                <w:color w:val="1E293B"/>
                <w:sz w:val="17"/>
              </w:rPr>
              <w:t>2.1090</w:t>
            </w:r>
          </w:p>
        </w:tc>
        <w:tc>
          <w:tcPr>
            <w:tcW w:type="dxa" w:w="2016"/>
            <w:shd w:fill="F8FAFC"/>
          </w:tcPr>
          <w:p>
            <w:r>
              <w:rPr>
                <w:rFonts w:ascii="Arial" w:hAnsi="Arial"/>
                <w:color w:val="1E293B"/>
                <w:sz w:val="17"/>
              </w:rPr>
              <w:t>0.6659</w:t>
            </w:r>
          </w:p>
        </w:tc>
      </w:tr>
      <w:tr>
        <w:tc>
          <w:tcPr>
            <w:tcW w:type="dxa" w:w="2016"/>
            <w:shd w:fill="FFFFFF"/>
          </w:tcPr>
          <w:p>
            <w:r>
              <w:rPr>
                <w:rFonts w:ascii="Arial" w:hAnsi="Arial"/>
                <w:color w:val="1E293B"/>
                <w:sz w:val="17"/>
              </w:rPr>
              <w:t>Expanded (General + Indian)</w:t>
            </w:r>
          </w:p>
        </w:tc>
        <w:tc>
          <w:tcPr>
            <w:tcW w:type="dxa" w:w="2016"/>
            <w:shd w:fill="FFFFFF"/>
          </w:tcPr>
          <w:p>
            <w:r>
              <w:rPr>
                <w:rFonts w:ascii="Arial" w:hAnsi="Arial"/>
                <w:color w:val="1E293B"/>
                <w:sz w:val="17"/>
              </w:rPr>
              <w:t>Gradient Boosting Regressor</w:t>
            </w:r>
          </w:p>
        </w:tc>
        <w:tc>
          <w:tcPr>
            <w:tcW w:type="dxa" w:w="2016"/>
            <w:shd w:fill="FFFFFF"/>
          </w:tcPr>
          <w:p>
            <w:r>
              <w:rPr>
                <w:rFonts w:ascii="Arial" w:hAnsi="Arial"/>
                <w:color w:val="1E293B"/>
                <w:sz w:val="17"/>
              </w:rPr>
              <w:t>1.5906</w:t>
            </w:r>
          </w:p>
        </w:tc>
        <w:tc>
          <w:tcPr>
            <w:tcW w:type="dxa" w:w="2016"/>
            <w:shd w:fill="FFFFFF"/>
          </w:tcPr>
          <w:p>
            <w:r>
              <w:rPr>
                <w:rFonts w:ascii="Arial" w:hAnsi="Arial"/>
                <w:color w:val="1E293B"/>
                <w:sz w:val="17"/>
              </w:rPr>
              <w:t>2.3563</w:t>
            </w:r>
          </w:p>
        </w:tc>
        <w:tc>
          <w:tcPr>
            <w:tcW w:type="dxa" w:w="2016"/>
            <w:shd w:fill="FFFFFF"/>
          </w:tcPr>
          <w:p>
            <w:r>
              <w:rPr>
                <w:rFonts w:ascii="Arial" w:hAnsi="Arial"/>
                <w:color w:val="1E293B"/>
                <w:sz w:val="17"/>
              </w:rPr>
              <w:t>0.5830</w:t>
            </w:r>
          </w:p>
        </w:tc>
      </w:tr>
    </w:tbl>
    <w:p>
      <w:pPr>
        <w:spacing w:before="200" w:after="80"/>
      </w:pPr>
      <w:r>
        <w:rPr>
          <w:rFonts w:ascii="Arial" w:hAnsi="Arial"/>
          <w:b/>
          <w:color w:val="0F172A"/>
          <w:sz w:val="21"/>
        </w:rPr>
        <w:t>Table III. Classification Performance (Target: quality_label - Low / Medium / High)</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4338CA"/>
          </w:tcPr>
          <w:p>
            <w:pPr>
              <w:jc w:val="center"/>
            </w:pPr>
            <w:r>
              <w:rPr>
                <w:rFonts w:ascii="Arial" w:hAnsi="Arial"/>
                <w:b/>
                <w:color w:val="FFFFFF"/>
                <w:sz w:val="17"/>
              </w:rPr>
              <w:t>Experiment</w:t>
            </w:r>
          </w:p>
        </w:tc>
        <w:tc>
          <w:tcPr>
            <w:tcW w:type="dxa" w:w="1680"/>
            <w:shd w:fill="4338CA"/>
          </w:tcPr>
          <w:p>
            <w:pPr>
              <w:jc w:val="center"/>
            </w:pPr>
            <w:r>
              <w:rPr>
                <w:rFonts w:ascii="Arial" w:hAnsi="Arial"/>
                <w:b/>
                <w:color w:val="FFFFFF"/>
                <w:sz w:val="17"/>
              </w:rPr>
              <w:t>Model</w:t>
            </w:r>
          </w:p>
        </w:tc>
        <w:tc>
          <w:tcPr>
            <w:tcW w:type="dxa" w:w="1680"/>
            <w:shd w:fill="4338CA"/>
          </w:tcPr>
          <w:p>
            <w:pPr>
              <w:jc w:val="center"/>
            </w:pPr>
            <w:r>
              <w:rPr>
                <w:rFonts w:ascii="Arial" w:hAnsi="Arial"/>
                <w:b/>
                <w:color w:val="FFFFFF"/>
                <w:sz w:val="17"/>
              </w:rPr>
              <w:t>Accuracy</w:t>
            </w:r>
          </w:p>
        </w:tc>
        <w:tc>
          <w:tcPr>
            <w:tcW w:type="dxa" w:w="1680"/>
            <w:shd w:fill="4338CA"/>
          </w:tcPr>
          <w:p>
            <w:pPr>
              <w:jc w:val="center"/>
            </w:pPr>
            <w:r>
              <w:rPr>
                <w:rFonts w:ascii="Arial" w:hAnsi="Arial"/>
                <w:b/>
                <w:color w:val="FFFFFF"/>
                <w:sz w:val="17"/>
              </w:rPr>
              <w:t>Precision</w:t>
            </w:r>
          </w:p>
        </w:tc>
        <w:tc>
          <w:tcPr>
            <w:tcW w:type="dxa" w:w="1680"/>
            <w:shd w:fill="4338CA"/>
          </w:tcPr>
          <w:p>
            <w:pPr>
              <w:jc w:val="center"/>
            </w:pPr>
            <w:r>
              <w:rPr>
                <w:rFonts w:ascii="Arial" w:hAnsi="Arial"/>
                <w:b/>
                <w:color w:val="FFFFFF"/>
                <w:sz w:val="17"/>
              </w:rPr>
              <w:t>Recall</w:t>
            </w:r>
          </w:p>
        </w:tc>
        <w:tc>
          <w:tcPr>
            <w:tcW w:type="dxa" w:w="1680"/>
            <w:shd w:fill="4338CA"/>
          </w:tcPr>
          <w:p>
            <w:pPr>
              <w:jc w:val="center"/>
            </w:pPr>
            <w:r>
              <w:rPr>
                <w:rFonts w:ascii="Arial" w:hAnsi="Arial"/>
                <w:b/>
                <w:color w:val="FFFFFF"/>
                <w:sz w:val="17"/>
              </w:rPr>
              <w:t>Macro F1</w:t>
            </w:r>
          </w:p>
        </w:tc>
      </w:tr>
      <w:tr>
        <w:tc>
          <w:tcPr>
            <w:tcW w:type="dxa" w:w="1680"/>
            <w:shd w:fill="F8FAFC"/>
          </w:tcPr>
          <w:p>
            <w:r>
              <w:rPr>
                <w:rFonts w:ascii="Arial" w:hAnsi="Arial"/>
                <w:color w:val="1E293B"/>
                <w:sz w:val="17"/>
              </w:rPr>
              <w:t>Baseline (General Data)</w:t>
            </w:r>
          </w:p>
        </w:tc>
        <w:tc>
          <w:tcPr>
            <w:tcW w:type="dxa" w:w="1680"/>
            <w:shd w:fill="F8FAFC"/>
          </w:tcPr>
          <w:p>
            <w:r>
              <w:rPr>
                <w:rFonts w:ascii="Arial" w:hAnsi="Arial"/>
                <w:color w:val="1E293B"/>
                <w:sz w:val="17"/>
              </w:rPr>
              <w:t>Logistic Regression</w:t>
            </w:r>
          </w:p>
        </w:tc>
        <w:tc>
          <w:tcPr>
            <w:tcW w:type="dxa" w:w="1680"/>
            <w:shd w:fill="F8FAFC"/>
          </w:tcPr>
          <w:p>
            <w:r>
              <w:rPr>
                <w:rFonts w:ascii="Arial" w:hAnsi="Arial"/>
                <w:color w:val="1E293B"/>
                <w:sz w:val="17"/>
              </w:rPr>
              <w:t>78.57%</w:t>
            </w:r>
          </w:p>
        </w:tc>
        <w:tc>
          <w:tcPr>
            <w:tcW w:type="dxa" w:w="1680"/>
            <w:shd w:fill="F8FAFC"/>
          </w:tcPr>
          <w:p>
            <w:r>
              <w:rPr>
                <w:rFonts w:ascii="Arial" w:hAnsi="Arial"/>
                <w:color w:val="1E293B"/>
                <w:sz w:val="17"/>
              </w:rPr>
              <w:t>0.8000</w:t>
            </w:r>
          </w:p>
        </w:tc>
        <w:tc>
          <w:tcPr>
            <w:tcW w:type="dxa" w:w="1680"/>
            <w:shd w:fill="F8FAFC"/>
          </w:tcPr>
          <w:p>
            <w:r>
              <w:rPr>
                <w:rFonts w:ascii="Arial" w:hAnsi="Arial"/>
                <w:color w:val="1E293B"/>
                <w:sz w:val="17"/>
              </w:rPr>
              <w:t>0.8571</w:t>
            </w:r>
          </w:p>
        </w:tc>
        <w:tc>
          <w:tcPr>
            <w:tcW w:type="dxa" w:w="1680"/>
            <w:shd w:fill="F8FAFC"/>
          </w:tcPr>
          <w:p>
            <w:r>
              <w:rPr>
                <w:rFonts w:ascii="Arial" w:hAnsi="Arial"/>
                <w:color w:val="1E293B"/>
                <w:sz w:val="17"/>
              </w:rPr>
              <w:t>0.7887</w:t>
            </w:r>
          </w:p>
        </w:tc>
      </w:tr>
      <w:tr>
        <w:tc>
          <w:tcPr>
            <w:tcW w:type="dxa" w:w="1680"/>
            <w:shd w:fill="FFFFFF"/>
          </w:tcPr>
          <w:p>
            <w:r>
              <w:rPr>
                <w:rFonts w:ascii="Arial" w:hAnsi="Arial"/>
                <w:color w:val="1E293B"/>
                <w:sz w:val="17"/>
              </w:rPr>
              <w:t>Baseline (General Data)</w:t>
            </w:r>
          </w:p>
        </w:tc>
        <w:tc>
          <w:tcPr>
            <w:tcW w:type="dxa" w:w="1680"/>
            <w:shd w:fill="FFFFFF"/>
          </w:tcPr>
          <w:p>
            <w:r>
              <w:rPr>
                <w:rFonts w:ascii="Arial" w:hAnsi="Arial"/>
                <w:color w:val="1E293B"/>
                <w:sz w:val="17"/>
              </w:rPr>
              <w:t>Random Forest Classifier</w:t>
            </w:r>
          </w:p>
        </w:tc>
        <w:tc>
          <w:tcPr>
            <w:tcW w:type="dxa" w:w="1680"/>
            <w:shd w:fill="FFFFFF"/>
          </w:tcPr>
          <w:p>
            <w:r>
              <w:rPr>
                <w:rFonts w:ascii="Arial" w:hAnsi="Arial"/>
                <w:color w:val="1E293B"/>
                <w:sz w:val="17"/>
              </w:rPr>
              <w:t>92.86%</w:t>
            </w:r>
          </w:p>
        </w:tc>
        <w:tc>
          <w:tcPr>
            <w:tcW w:type="dxa" w:w="1680"/>
            <w:shd w:fill="FFFFFF"/>
          </w:tcPr>
          <w:p>
            <w:r>
              <w:rPr>
                <w:rFonts w:ascii="Arial" w:hAnsi="Arial"/>
                <w:color w:val="1E293B"/>
                <w:sz w:val="17"/>
              </w:rPr>
              <w:t>0.9167</w:t>
            </w:r>
          </w:p>
        </w:tc>
        <w:tc>
          <w:tcPr>
            <w:tcW w:type="dxa" w:w="1680"/>
            <w:shd w:fill="FFFFFF"/>
          </w:tcPr>
          <w:p>
            <w:r>
              <w:rPr>
                <w:rFonts w:ascii="Arial" w:hAnsi="Arial"/>
                <w:color w:val="1E293B"/>
                <w:sz w:val="17"/>
              </w:rPr>
              <w:t>0.9524</w:t>
            </w:r>
          </w:p>
        </w:tc>
        <w:tc>
          <w:tcPr>
            <w:tcW w:type="dxa" w:w="1680"/>
            <w:shd w:fill="FFFFFF"/>
          </w:tcPr>
          <w:p>
            <w:r>
              <w:rPr>
                <w:rFonts w:ascii="Arial" w:hAnsi="Arial"/>
                <w:color w:val="1E293B"/>
                <w:sz w:val="17"/>
              </w:rPr>
              <w:t>0.9267</w:t>
            </w:r>
          </w:p>
        </w:tc>
      </w:tr>
      <w:tr>
        <w:tc>
          <w:tcPr>
            <w:tcW w:type="dxa" w:w="1680"/>
            <w:shd w:fill="F8FAFC"/>
          </w:tcPr>
          <w:p>
            <w:r>
              <w:rPr>
                <w:rFonts w:ascii="Arial" w:hAnsi="Arial"/>
                <w:color w:val="1E293B"/>
                <w:sz w:val="17"/>
              </w:rPr>
              <w:t>Expanded (General + Indian)</w:t>
            </w:r>
          </w:p>
        </w:tc>
        <w:tc>
          <w:tcPr>
            <w:tcW w:type="dxa" w:w="1680"/>
            <w:shd w:fill="F8FAFC"/>
          </w:tcPr>
          <w:p>
            <w:r>
              <w:rPr>
                <w:rFonts w:ascii="Arial" w:hAnsi="Arial"/>
                <w:color w:val="1E293B"/>
                <w:sz w:val="17"/>
              </w:rPr>
              <w:t>Logistic Regression</w:t>
            </w:r>
          </w:p>
        </w:tc>
        <w:tc>
          <w:tcPr>
            <w:tcW w:type="dxa" w:w="1680"/>
            <w:shd w:fill="F8FAFC"/>
          </w:tcPr>
          <w:p>
            <w:r>
              <w:rPr>
                <w:rFonts w:ascii="Arial" w:hAnsi="Arial"/>
                <w:color w:val="1E293B"/>
                <w:sz w:val="17"/>
              </w:rPr>
              <w:t>94.93%</w:t>
            </w:r>
          </w:p>
        </w:tc>
        <w:tc>
          <w:tcPr>
            <w:tcW w:type="dxa" w:w="1680"/>
            <w:shd w:fill="F8FAFC"/>
          </w:tcPr>
          <w:p>
            <w:r>
              <w:rPr>
                <w:rFonts w:ascii="Arial" w:hAnsi="Arial"/>
                <w:color w:val="1E293B"/>
                <w:sz w:val="17"/>
              </w:rPr>
              <w:t>0.9647</w:t>
            </w:r>
          </w:p>
        </w:tc>
        <w:tc>
          <w:tcPr>
            <w:tcW w:type="dxa" w:w="1680"/>
            <w:shd w:fill="F8FAFC"/>
          </w:tcPr>
          <w:p>
            <w:r>
              <w:rPr>
                <w:rFonts w:ascii="Arial" w:hAnsi="Arial"/>
                <w:color w:val="1E293B"/>
                <w:sz w:val="17"/>
              </w:rPr>
              <w:t>0.8636</w:t>
            </w:r>
          </w:p>
        </w:tc>
        <w:tc>
          <w:tcPr>
            <w:tcW w:type="dxa" w:w="1680"/>
            <w:shd w:fill="F8FAFC"/>
          </w:tcPr>
          <w:p>
            <w:r>
              <w:rPr>
                <w:rFonts w:ascii="Arial" w:hAnsi="Arial"/>
                <w:color w:val="1E293B"/>
                <w:sz w:val="17"/>
              </w:rPr>
              <w:t>0.9030</w:t>
            </w:r>
          </w:p>
        </w:tc>
      </w:tr>
      <w:tr>
        <w:tc>
          <w:tcPr>
            <w:tcW w:type="dxa" w:w="1680"/>
            <w:shd w:fill="FFFFFF"/>
          </w:tcPr>
          <w:p>
            <w:r>
              <w:rPr>
                <w:rFonts w:ascii="Arial" w:hAnsi="Arial"/>
                <w:color w:val="1E293B"/>
                <w:sz w:val="17"/>
              </w:rPr>
              <w:t>Expanded (General + Indian)</w:t>
            </w:r>
          </w:p>
        </w:tc>
        <w:tc>
          <w:tcPr>
            <w:tcW w:type="dxa" w:w="1680"/>
            <w:shd w:fill="FFFFFF"/>
          </w:tcPr>
          <w:p>
            <w:r>
              <w:rPr>
                <w:rFonts w:ascii="Arial" w:hAnsi="Arial"/>
                <w:color w:val="1E293B"/>
                <w:sz w:val="17"/>
              </w:rPr>
              <w:t>Random Forest Classifier</w:t>
            </w:r>
          </w:p>
        </w:tc>
        <w:tc>
          <w:tcPr>
            <w:tcW w:type="dxa" w:w="1680"/>
            <w:shd w:fill="FFFFFF"/>
          </w:tcPr>
          <w:p>
            <w:r>
              <w:rPr>
                <w:rFonts w:ascii="Arial" w:hAnsi="Arial"/>
                <w:color w:val="1E293B"/>
                <w:sz w:val="17"/>
              </w:rPr>
              <w:t>94.47%</w:t>
            </w:r>
          </w:p>
        </w:tc>
        <w:tc>
          <w:tcPr>
            <w:tcW w:type="dxa" w:w="1680"/>
            <w:shd w:fill="FFFFFF"/>
          </w:tcPr>
          <w:p>
            <w:r>
              <w:rPr>
                <w:rFonts w:ascii="Arial" w:hAnsi="Arial"/>
                <w:color w:val="1E293B"/>
                <w:sz w:val="17"/>
              </w:rPr>
              <w:t>0.9631</w:t>
            </w:r>
          </w:p>
        </w:tc>
        <w:tc>
          <w:tcPr>
            <w:tcW w:type="dxa" w:w="1680"/>
            <w:shd w:fill="FFFFFF"/>
          </w:tcPr>
          <w:p>
            <w:r>
              <w:rPr>
                <w:rFonts w:ascii="Arial" w:hAnsi="Arial"/>
                <w:color w:val="1E293B"/>
                <w:sz w:val="17"/>
              </w:rPr>
              <w:t>0.8584</w:t>
            </w:r>
          </w:p>
        </w:tc>
        <w:tc>
          <w:tcPr>
            <w:tcW w:type="dxa" w:w="1680"/>
            <w:shd w:fill="FFFFFF"/>
          </w:tcPr>
          <w:p>
            <w:r>
              <w:rPr>
                <w:rFonts w:ascii="Arial" w:hAnsi="Arial"/>
                <w:color w:val="1E293B"/>
                <w:sz w:val="17"/>
              </w:rPr>
              <w:t>0.9000</w:t>
            </w:r>
          </w:p>
        </w:tc>
      </w:tr>
      <w:tr>
        <w:tc>
          <w:tcPr>
            <w:tcW w:type="dxa" w:w="1680"/>
            <w:shd w:fill="F8FAFC"/>
          </w:tcPr>
          <w:p>
            <w:r>
              <w:rPr>
                <w:rFonts w:ascii="Arial" w:hAnsi="Arial"/>
                <w:color w:val="1E293B"/>
                <w:sz w:val="17"/>
              </w:rPr>
              <w:t>Expanded (General + Indian)</w:t>
            </w:r>
          </w:p>
        </w:tc>
        <w:tc>
          <w:tcPr>
            <w:tcW w:type="dxa" w:w="1680"/>
            <w:shd w:fill="F8FAFC"/>
          </w:tcPr>
          <w:p>
            <w:r>
              <w:rPr>
                <w:rFonts w:ascii="Arial" w:hAnsi="Arial"/>
                <w:color w:val="1E293B"/>
                <w:sz w:val="17"/>
              </w:rPr>
              <w:t>Gradient Boosting Classifier</w:t>
            </w:r>
          </w:p>
        </w:tc>
        <w:tc>
          <w:tcPr>
            <w:tcW w:type="dxa" w:w="1680"/>
            <w:shd w:fill="F8FAFC"/>
          </w:tcPr>
          <w:p>
            <w:r>
              <w:rPr>
                <w:rFonts w:ascii="Arial" w:hAnsi="Arial"/>
                <w:color w:val="1E293B"/>
                <w:sz w:val="17"/>
              </w:rPr>
              <w:t>96.77%</w:t>
            </w:r>
          </w:p>
        </w:tc>
        <w:tc>
          <w:tcPr>
            <w:tcW w:type="dxa" w:w="1680"/>
            <w:shd w:fill="F8FAFC"/>
          </w:tcPr>
          <w:p>
            <w:r>
              <w:rPr>
                <w:rFonts w:ascii="Arial" w:hAnsi="Arial"/>
                <w:color w:val="1E293B"/>
                <w:sz w:val="17"/>
              </w:rPr>
              <w:t>0.9397</w:t>
            </w:r>
          </w:p>
        </w:tc>
        <w:tc>
          <w:tcPr>
            <w:tcW w:type="dxa" w:w="1680"/>
            <w:shd w:fill="F8FAFC"/>
          </w:tcPr>
          <w:p>
            <w:r>
              <w:rPr>
                <w:rFonts w:ascii="Arial" w:hAnsi="Arial"/>
                <w:color w:val="1E293B"/>
                <w:sz w:val="17"/>
              </w:rPr>
              <w:t>0.9100</w:t>
            </w:r>
          </w:p>
        </w:tc>
        <w:tc>
          <w:tcPr>
            <w:tcW w:type="dxa" w:w="1680"/>
            <w:shd w:fill="F8FAFC"/>
          </w:tcPr>
          <w:p>
            <w:r>
              <w:rPr>
                <w:rFonts w:ascii="Arial" w:hAnsi="Arial"/>
                <w:color w:val="1E293B"/>
                <w:sz w:val="17"/>
              </w:rPr>
              <w:t>0.9239</w:t>
            </w:r>
          </w:p>
        </w:tc>
      </w:tr>
    </w:tbl>
    <w:p>
      <w:pPr>
        <w:spacing w:before="280" w:after="120"/>
      </w:pPr>
      <w:r>
        <w:rPr>
          <w:rFonts w:ascii="Arial" w:hAnsi="Arial"/>
          <w:b/>
          <w:color w:val="1E3A8A"/>
          <w:sz w:val="24"/>
        </w:rPr>
        <w:t>V. RECOMMENDATION ENGINE &amp; WEB DEPLOYMENT</w:t>
      </w:r>
    </w:p>
    <w:p>
      <w:pPr>
        <w:spacing w:after="120" w:line="276" w:lineRule="auto"/>
      </w:pPr>
      <w:r>
        <w:rPr>
          <w:rFonts w:ascii="Arial" w:hAnsi="Arial"/>
          <w:color w:val="334155"/>
          <w:sz w:val="19"/>
        </w:rPr>
        <w:t>The recommendation engine standardizes target nutrient profiles using StandardScaler and computes vector Cosine Similarity across candidates. Prior to similarity ranking, hard numerical constraints (e.g. Max Calories, Min Protein) filter candidates. If no exact candidate satisfies all strict constraints, a fallback mechanism reverts to top similarity matches with explicit explanatory notifications.</w:t>
      </w:r>
    </w:p>
    <w:p>
      <w:pPr>
        <w:spacing w:after="120" w:line="276" w:lineRule="auto"/>
      </w:pPr>
      <w:r>
        <w:rPr>
          <w:rFonts w:ascii="Arial" w:hAnsi="Arial"/>
          <w:color w:val="334155"/>
          <w:sz w:val="19"/>
        </w:rPr>
        <w:t>The full pipeline is deployed as a responsive Streamlit web application (app.py) featuring a dark glassmorphic UI, interactive nutrient preset buttons, real-time ML prediction studio, and automated testing via Pytest (tests/test_pipeline.py - 5/5 tests passed).</w:t>
      </w:r>
    </w:p>
    <w:p>
      <w:pPr>
        <w:spacing w:before="280" w:after="120"/>
      </w:pPr>
      <w:r>
        <w:rPr>
          <w:rFonts w:ascii="Arial" w:hAnsi="Arial"/>
          <w:b/>
          <w:color w:val="1E3A8A"/>
          <w:sz w:val="24"/>
        </w:rPr>
        <w:t>VI. CONCLUSION &amp; REFERENCES</w:t>
      </w:r>
    </w:p>
    <w:p>
      <w:pPr>
        <w:spacing w:after="120" w:line="276" w:lineRule="auto"/>
      </w:pPr>
      <w:r>
        <w:rPr>
          <w:rFonts w:ascii="Arial" w:hAnsi="Arial"/>
          <w:color w:val="334155"/>
          <w:sz w:val="19"/>
        </w:rPr>
        <w:t>This research establishes a multi-source machine learning framework integrating general food databases with Indian food composition and 200 composite meal recipes. Gradient Boosting Classifier achieved 96.77% accuracy in quality grading, while Random Forest Regressor predicted protein with an MAE of 1.33g. The system provides an explainable, constraint-filtered dietary recommendation solution tailored to regional cuisine.</w:t>
      </w:r>
    </w:p>
    <w:p>
      <w:pPr>
        <w:spacing w:before="200" w:after="80"/>
      </w:pPr>
      <w:r>
        <w:rPr>
          <w:rFonts w:ascii="Arial" w:hAnsi="Arial"/>
          <w:b/>
          <w:color w:val="0F172A"/>
          <w:sz w:val="21"/>
        </w:rPr>
        <w:t>References</w:t>
      </w:r>
    </w:p>
    <w:p>
      <w:pPr>
        <w:spacing w:after="120" w:line="276" w:lineRule="auto"/>
      </w:pPr>
      <w:r>
        <w:rPr>
          <w:rFonts w:ascii="Arial" w:hAnsi="Arial"/>
          <w:color w:val="334155"/>
          <w:sz w:val="19"/>
        </w:rPr>
        <w:t>1. U.S. Department of Agriculture, Agricultural Research Service, 'FoodData Central: Downloadable data,' 2026.</w:t>
      </w:r>
    </w:p>
    <w:p>
      <w:pPr>
        <w:spacing w:after="120" w:line="276" w:lineRule="auto"/>
      </w:pPr>
      <w:r>
        <w:rPr>
          <w:rFonts w:ascii="Arial" w:hAnsi="Arial"/>
          <w:color w:val="334155"/>
          <w:sz w:val="19"/>
        </w:rPr>
        <w:t>2. Open Food Facts, 'Search Products API Documentation,' 2026.</w:t>
      </w:r>
    </w:p>
    <w:p>
      <w:pPr>
        <w:spacing w:after="120" w:line="276" w:lineRule="auto"/>
      </w:pPr>
      <w:r>
        <w:rPr>
          <w:rFonts w:ascii="Arial" w:hAnsi="Arial"/>
          <w:color w:val="334155"/>
          <w:sz w:val="19"/>
        </w:rPr>
        <w:t>3. F. Pedregosa et al., 'Scikit-learn: Machine learning in Python,' J. Mach. Learn. Res., vol. 12, pp. 2825-2830, 2011.</w:t>
      </w:r>
    </w:p>
    <w:p>
      <w:pPr>
        <w:spacing w:after="120" w:line="276" w:lineRule="auto"/>
      </w:pPr>
      <w:r>
        <w:rPr>
          <w:rFonts w:ascii="Arial" w:hAnsi="Arial"/>
          <w:color w:val="334155"/>
          <w:sz w:val="19"/>
        </w:rPr>
        <w:t>4. ICMR-NIN, 'Indian Food Composition Tables (IFCT),' National Institute of Nutrition, Hyderabad, 2017.</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