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0A1628"/>
          <w:sz w:val="72"/>
          <w:szCs w:val="72"/>
        </w:rPr>
        <w:t xml:space="preserve">BVP ROBOSTOP</w:t>
      </w:r>
    </w:p>
    <w:p>
      <w:pPr>
        <w:spacing w:after="80" w:before="0"/>
        <w:jc w:val="center"/>
      </w:pPr>
      <w:r>
        <w:rPr>
          <w:rFonts w:ascii="Arial" w:cs="Arial" w:eastAsia="Arial" w:hAnsi="Arial"/>
          <w:b/>
          <w:bCs/>
          <w:color w:val="1B3A6B"/>
          <w:sz w:val="36"/>
          <w:szCs w:val="36"/>
        </w:rPr>
        <w:t xml:space="preserve">DIGITAL PRODUCT PACKAGE</w:t>
      </w:r>
    </w:p>
    <w:p>
      <w:pPr>
        <w:pBdr>
          <w:bottom w:val="single" w:color="C9A84C" w:sz="8" w:space="1"/>
        </w:pBdr>
        <w:spacing w:after="120" w:before="0"/>
        <w:jc w:val="center"/>
      </w:pPr>
      <w:r>
        <w:rPr>
          <w:rFonts w:ascii="Arial" w:cs="Arial" w:eastAsia="Arial" w:hAnsi="Arial"/>
          <w:i/>
          <w:iCs/>
          <w:color w:val="C9A84C"/>
          <w:sz w:val="24"/>
          <w:szCs w:val="24"/>
        </w:rPr>
        <w:t xml:space="preserve">Gumroad Product Documentation &amp; Architecture</w:t>
      </w:r>
    </w:p>
    <w:p>
      <w:pPr>
        <w:spacing w:after="80" w:before="240"/>
        <w:jc w:val="center"/>
      </w:pPr>
      <w:r>
        <w:rPr>
          <w:rFonts w:ascii="Arial" w:cs="Arial" w:eastAsia="Arial" w:hAnsi="Arial"/>
          <w:b/>
          <w:bCs/>
          <w:color w:val="4A5568"/>
          <w:sz w:val="28"/>
          <w:szCs w:val="28"/>
        </w:rPr>
        <w:t xml:space="preserve">Fight Back. Get Paid. Take Control.</w:t>
      </w:r>
    </w:p>
    <w:p>
      <w:pPr>
        <w:spacing w:after="80" w:before="80"/>
        <w:jc w:val="center"/>
      </w:pPr>
      <w:r>
        <w:rPr>
          <w:rFonts w:ascii="Arial" w:cs="Arial" w:eastAsia="Arial" w:hAnsi="Arial"/>
          <w:i/>
          <w:iCs/>
          <w:color w:val="4A5568"/>
          <w:sz w:val="20"/>
          <w:szCs w:val="20"/>
        </w:rPr>
        <w:t xml:space="preserve">Version 1.0  |  April 2026  |  Internal Use Only</w:t>
      </w:r>
    </w:p>
    <w:p>
      <w:pPr>
        <w:spacing w:after="0" w:before="10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4"/>
              <w:bottom w:val="single" w:color="C9A84C" w:sz="2"/>
              <w:right w:val="single" w:color="C9A84C" w:sz="2"/>
            </w:tcBorders>
            <w:shd w:fill="F0F4FA" w:val="clear"/>
            <w:tcMar>
              <w:top w:type="dxa" w:w="160"/>
              <w:left w:type="dxa" w:w="240"/>
              <w:bottom w:type="dxa" w:w="160"/>
              <w:right w:type="dxa" w:w="240"/>
            </w:tcMar>
          </w:tcPr>
          <w:p>
            <w:pPr>
              <w:spacing w:after="60" w:before="0"/>
            </w:pPr>
            <w:r>
              <w:rPr>
                <w:rFonts w:ascii="Arial" w:cs="Arial" w:eastAsia="Arial" w:hAnsi="Arial"/>
                <w:b/>
                <w:bCs/>
                <w:color w:val="C9A84C"/>
                <w:sz w:val="21"/>
                <w:szCs w:val="21"/>
              </w:rPr>
              <w:t xml:space="preserve">ABOUT THIS DOCUMENT</w:t>
            </w:r>
          </w:p>
          <w:p>
            <w:pPr>
              <w:spacing w:after="0" w:before="0"/>
            </w:pPr>
            <w:r>
              <w:rPr>
                <w:rFonts w:ascii="Arial" w:cs="Arial" w:eastAsia="Arial" w:hAnsi="Arial"/>
                <w:color w:val="4A5568"/>
                <w:sz w:val="21"/>
                <w:szCs w:val="21"/>
              </w:rPr>
              <w:t xml:space="preserve">This document contains the full product architecture, item descriptions, Gumroad listing copy, and VS Code build prompt for the BVP RoboStop Digital Product Package. It is intended for internal use by the BVP product team and authorized personnel only.</w:t>
            </w:r>
          </w:p>
        </w:tc>
      </w:tr>
    </w:tbl>
    <w:p>
      <w:pPr>
        <w:spacing w:after="0" w:before="100"/>
      </w:pPr>
    </w:p>
    <w:p>
      <w:r>
        <w:br w:type="page"/>
      </w:r>
    </w:p>
    <w:p>
      <w:pPr>
        <w:spacing w:after="120" w:before="360"/>
      </w:pPr>
      <w:r>
        <w:rPr>
          <w:rFonts w:ascii="Arial" w:cs="Arial" w:eastAsia="Arial" w:hAnsi="Arial"/>
          <w:b/>
          <w:bCs/>
          <w:color w:val="0A1628"/>
          <w:sz w:val="36"/>
          <w:szCs w:val="36"/>
        </w:rPr>
        <w:t xml:space="preserve">SECTION 1 — PRODUCT OVERVIEW</w:t>
      </w:r>
    </w:p>
    <w:p>
      <w:pPr>
        <w:pBdr>
          <w:bottom w:val="single" w:color="C9A84C" w:sz="6" w:space="1"/>
        </w:pBdr>
        <w:spacing w:after="160" w:before="160"/>
      </w:pPr>
    </w:p>
    <w:p>
      <w:pPr>
        <w:spacing w:after="80" w:before="80"/>
      </w:pPr>
      <w:r>
        <w:rPr>
          <w:rFonts w:ascii="Arial" w:cs="Arial" w:eastAsia="Arial" w:hAnsi="Arial"/>
          <w:color w:val="4A5568"/>
          <w:sz w:val="22"/>
          <w:szCs w:val="22"/>
        </w:rPr>
        <w:t xml:space="preserve">The BVP RoboStop Digital Product Package is a self-contained consumer legal toolkit that empowers individuals to take immediate action against illegal robocallers under the Telephone Consumer Protection Act (TCPA). This package requires no attorney and no prior legal knowledge.</w:t>
      </w:r>
    </w:p>
    <w:p>
      <w:pPr>
        <w:spacing w:after="0" w:before="100"/>
      </w:pPr>
    </w:p>
    <w:p>
      <w:pPr>
        <w:spacing w:after="80" w:before="80"/>
      </w:pPr>
      <w:r>
        <w:rPr>
          <w:rFonts w:ascii="Arial" w:cs="Arial" w:eastAsia="Arial" w:hAnsi="Arial"/>
          <w:color w:val="4A5568"/>
          <w:sz w:val="22"/>
          <w:szCs w:val="22"/>
        </w:rPr>
        <w:t xml:space="preserve">Sold as a single digital download through Gumroad, this package includes six core deliverables architected to take a user from call documentation through a completed, ready-to-send legal demand letter — and into small claims court or attorney referral if needed.</w:t>
      </w:r>
    </w:p>
    <w:p>
      <w:pPr>
        <w:spacing w:after="0" w:before="100"/>
      </w:pPr>
    </w:p>
    <w:p>
      <w:pPr>
        <w:spacing w:after="80" w:before="240"/>
      </w:pPr>
      <w:r>
        <w:rPr>
          <w:rFonts w:ascii="Arial" w:cs="Arial" w:eastAsia="Arial" w:hAnsi="Arial"/>
          <w:b/>
          <w:bCs/>
          <w:color w:val="1B3A6B"/>
          <w:sz w:val="26"/>
          <w:szCs w:val="26"/>
        </w:rPr>
        <w:t xml:space="preserve">Who This Product Is For</w:t>
      </w:r>
    </w:p>
    <w:p>
      <w:pPr>
        <w:pStyle w:val="ListParagraph"/>
        <w:numPr>
          <w:ilvl w:val="0"/>
          <w:numId w:val="2"/>
        </w:numPr>
        <w:spacing w:after="60" w:before="60"/>
      </w:pPr>
      <w:r>
        <w:rPr>
          <w:rFonts w:ascii="Arial" w:cs="Arial" w:eastAsia="Arial" w:hAnsi="Arial"/>
          <w:color w:val="4A5568"/>
          <w:sz w:val="22"/>
          <w:szCs w:val="22"/>
        </w:rPr>
        <w:t xml:space="preserve">Any U.S. resident registered on the National Do Not Call (DNC) Registry who continues to receive unsolicited calls</w:t>
      </w:r>
    </w:p>
    <w:p>
      <w:pPr>
        <w:pStyle w:val="ListParagraph"/>
        <w:numPr>
          <w:ilvl w:val="0"/>
          <w:numId w:val="2"/>
        </w:numPr>
        <w:spacing w:after="60" w:before="60"/>
      </w:pPr>
      <w:r>
        <w:rPr>
          <w:rFonts w:ascii="Arial" w:cs="Arial" w:eastAsia="Arial" w:hAnsi="Arial"/>
          <w:color w:val="4A5568"/>
          <w:sz w:val="22"/>
          <w:szCs w:val="22"/>
        </w:rPr>
        <w:t xml:space="preserve">Consumers receiving pre-recorded or automated telemarketing calls without prior written consent</w:t>
      </w:r>
    </w:p>
    <w:p>
      <w:pPr>
        <w:pStyle w:val="ListParagraph"/>
        <w:numPr>
          <w:ilvl w:val="0"/>
          <w:numId w:val="2"/>
        </w:numPr>
        <w:spacing w:after="60" w:before="60"/>
      </w:pPr>
      <w:r>
        <w:rPr>
          <w:rFonts w:ascii="Arial" w:cs="Arial" w:eastAsia="Arial" w:hAnsi="Arial"/>
          <w:color w:val="4A5568"/>
          <w:sz w:val="22"/>
          <w:szCs w:val="22"/>
        </w:rPr>
        <w:t xml:space="preserve">Individuals who have received robocalls after expressly requesting placement on a company's internal DNC list</w:t>
      </w:r>
    </w:p>
    <w:p>
      <w:pPr>
        <w:pStyle w:val="ListParagraph"/>
        <w:numPr>
          <w:ilvl w:val="0"/>
          <w:numId w:val="2"/>
        </w:numPr>
        <w:spacing w:after="60" w:before="60"/>
      </w:pPr>
      <w:r>
        <w:rPr>
          <w:rFonts w:ascii="Arial" w:cs="Arial" w:eastAsia="Arial" w:hAnsi="Arial"/>
          <w:color w:val="4A5568"/>
          <w:sz w:val="22"/>
          <w:szCs w:val="22"/>
        </w:rPr>
        <w:t xml:space="preserve">Anyone receiving repeated calls from debt collectors using automated dialing systems without written consent</w:t>
      </w:r>
    </w:p>
    <w:p>
      <w:pPr>
        <w:pStyle w:val="ListParagraph"/>
        <w:numPr>
          <w:ilvl w:val="0"/>
          <w:numId w:val="2"/>
        </w:numPr>
        <w:spacing w:after="60" w:before="60"/>
      </w:pPr>
      <w:r>
        <w:rPr>
          <w:rFonts w:ascii="Arial" w:cs="Arial" w:eastAsia="Arial" w:hAnsi="Arial"/>
          <w:color w:val="4A5568"/>
          <w:sz w:val="22"/>
          <w:szCs w:val="22"/>
        </w:rPr>
        <w:t xml:space="preserve">Users seeking $500–$1,500 per violation without retaining a lawyer</w:t>
      </w:r>
    </w:p>
    <w:p>
      <w:pPr>
        <w:spacing w:after="0" w:before="100"/>
      </w:pPr>
    </w:p>
    <w:p>
      <w:pPr>
        <w:spacing w:after="80" w:before="240"/>
      </w:pPr>
      <w:r>
        <w:rPr>
          <w:rFonts w:ascii="Arial" w:cs="Arial" w:eastAsia="Arial" w:hAnsi="Arial"/>
          <w:b/>
          <w:bCs/>
          <w:color w:val="1B3A6B"/>
          <w:sz w:val="26"/>
          <w:szCs w:val="26"/>
        </w:rPr>
        <w:t xml:space="preserve">Legal Foundation</w:t>
      </w:r>
    </w:p>
    <w:p>
      <w:pPr>
        <w:spacing w:after="80" w:before="80"/>
      </w:pPr>
      <w:r>
        <w:rPr>
          <w:rFonts w:ascii="Arial" w:cs="Arial" w:eastAsia="Arial" w:hAnsi="Arial"/>
          <w:color w:val="4A5568"/>
          <w:sz w:val="22"/>
          <w:szCs w:val="22"/>
        </w:rPr>
        <w:t xml:space="preserve">The Telephone Consumer Protection Act (47 U.S.C. § 227), enacted in 1991 and strengthened by the TRACED Act (2019), creates a private right of action for consumers. Statutory damages are $500 per violation, trebled to $1,500 per violation for willful or knowing violations. These materials are built around this legal framework alongside FTC DNC Registry regulations (16 C.F.R. Part 310) and the Telemarketing Sales Rule (TSR).</w:t>
      </w:r>
    </w:p>
    <w:p>
      <w:pPr>
        <w:spacing w:after="0" w:before="100"/>
      </w:pPr>
    </w:p>
    <w:p>
      <w:r>
        <w:br w:type="page"/>
      </w:r>
    </w:p>
    <w:p>
      <w:pPr>
        <w:spacing w:after="120" w:before="360"/>
      </w:pPr>
      <w:r>
        <w:rPr>
          <w:rFonts w:ascii="Arial" w:cs="Arial" w:eastAsia="Arial" w:hAnsi="Arial"/>
          <w:b/>
          <w:bCs/>
          <w:color w:val="0A1628"/>
          <w:sz w:val="36"/>
          <w:szCs w:val="36"/>
        </w:rPr>
        <w:t xml:space="preserve">SECTION 2 — PACKAGE CONTENTS &amp; ARCHITECTURE</w:t>
      </w:r>
    </w:p>
    <w:p>
      <w:pPr>
        <w:pBdr>
          <w:bottom w:val="single" w:color="C9A84C" w:sz="6" w:space="1"/>
        </w:pBdr>
        <w:spacing w:after="160" w:before="160"/>
      </w:pPr>
    </w:p>
    <w:p>
      <w:pPr>
        <w:spacing w:after="80" w:before="80"/>
      </w:pPr>
      <w:r>
        <w:rPr>
          <w:rFonts w:ascii="Arial" w:cs="Arial" w:eastAsia="Arial" w:hAnsi="Arial"/>
          <w:color w:val="4A5568"/>
          <w:sz w:val="22"/>
          <w:szCs w:val="22"/>
        </w:rPr>
        <w:t xml:space="preserve">The BVP RoboStop Digital Product Package contains six (6) individual deliverables. Each is described in full detail below including format, content architecture, and purpose.</w:t>
      </w:r>
    </w:p>
    <w:p>
      <w:pPr>
        <w:spacing w:after="0" w:before="100"/>
      </w:pPr>
    </w:p>
    <w:p>
      <w:pPr>
        <w:spacing w:after="80" w:before="240"/>
      </w:pPr>
      <w:r>
        <w:rPr>
          <w:rFonts w:ascii="Arial" w:cs="Arial" w:eastAsia="Arial" w:hAnsi="Arial"/>
          <w:b/>
          <w:bCs/>
          <w:color w:val="1B3A6B"/>
          <w:sz w:val="26"/>
          <w:szCs w:val="26"/>
        </w:rPr>
        <w:t xml:space="preserve">ITEM 1 — TCPA Demand Letter Template (Fill-in-the-Blank)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Format</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Microsoft Word (.docx) + PDF</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Pages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2–3 pages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Skill Level Required</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None — fill highlighted fields only</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Legal Basis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47 U.S.C. § 227(b)(3), § 227(c)(5), 16 C.F.R. § 64.1200</w:t>
            </w:r>
          </w:p>
        </w:tc>
      </w:tr>
    </w:tbl>
    <w:p>
      <w:pPr>
        <w:spacing w:after="0" w:before="100"/>
      </w:pPr>
    </w:p>
    <w:p>
      <w:pPr>
        <w:spacing w:after="80" w:before="80"/>
      </w:pPr>
      <w:r>
        <w:rPr>
          <w:rFonts w:ascii="Arial" w:cs="Arial" w:eastAsia="Arial" w:hAnsi="Arial"/>
          <w:b/>
          <w:bCs/>
          <w:color w:val="0A1628"/>
          <w:sz w:val="22"/>
          <w:szCs w:val="22"/>
        </w:rPr>
        <w:t xml:space="preserve">Architecture:</w:t>
      </w:r>
    </w:p>
    <w:p>
      <w:pPr>
        <w:pStyle w:val="ListParagraph"/>
        <w:numPr>
          <w:ilvl w:val="0"/>
          <w:numId w:val="2"/>
        </w:numPr>
        <w:spacing w:after="60" w:before="60"/>
      </w:pPr>
      <w:r>
        <w:rPr>
          <w:rFonts w:ascii="Arial" w:cs="Arial" w:eastAsia="Arial" w:hAnsi="Arial"/>
          <w:color w:val="4A5568"/>
          <w:sz w:val="22"/>
          <w:szCs w:val="22"/>
        </w:rPr>
        <w:t xml:space="preserve">Opening Block — User full legal name, mailing address, phone number, and date</w:t>
      </w:r>
    </w:p>
    <w:p>
      <w:pPr>
        <w:pStyle w:val="ListParagraph"/>
        <w:numPr>
          <w:ilvl w:val="0"/>
          <w:numId w:val="2"/>
        </w:numPr>
        <w:spacing w:after="60" w:before="60"/>
      </w:pPr>
      <w:r>
        <w:rPr>
          <w:rFonts w:ascii="Arial" w:cs="Arial" w:eastAsia="Arial" w:hAnsi="Arial"/>
          <w:color w:val="4A5568"/>
          <w:sz w:val="22"/>
          <w:szCs w:val="22"/>
        </w:rPr>
        <w:t xml:space="preserve">Recipient Block — Company name, registered agent name, service address with lookup instructions</w:t>
      </w:r>
    </w:p>
    <w:p>
      <w:pPr>
        <w:pStyle w:val="ListParagraph"/>
        <w:numPr>
          <w:ilvl w:val="0"/>
          <w:numId w:val="2"/>
        </w:numPr>
        <w:spacing w:after="60" w:before="60"/>
      </w:pPr>
      <w:r>
        <w:rPr>
          <w:rFonts w:ascii="Arial" w:cs="Arial" w:eastAsia="Arial" w:hAnsi="Arial"/>
          <w:color w:val="4A5568"/>
          <w:sz w:val="22"/>
          <w:szCs w:val="22"/>
        </w:rPr>
        <w:t xml:space="preserve">Re: Line — Pre-formatted as: 'Re: TCPA Violation Notice and Demand for Settlement — [Phone Number]'</w:t>
      </w:r>
    </w:p>
    <w:p>
      <w:pPr>
        <w:pStyle w:val="ListParagraph"/>
        <w:numPr>
          <w:ilvl w:val="0"/>
          <w:numId w:val="2"/>
        </w:numPr>
        <w:spacing w:after="60" w:before="60"/>
      </w:pPr>
      <w:r>
        <w:rPr>
          <w:rFonts w:ascii="Arial" w:cs="Arial" w:eastAsia="Arial" w:hAnsi="Arial"/>
          <w:color w:val="4A5568"/>
          <w:sz w:val="22"/>
          <w:szCs w:val="22"/>
        </w:rPr>
        <w:t xml:space="preserve">Statement of Facts — Numbered paragraph blocks for each call date, time, and nature</w:t>
      </w:r>
    </w:p>
    <w:p>
      <w:pPr>
        <w:pStyle w:val="ListParagraph"/>
        <w:numPr>
          <w:ilvl w:val="0"/>
          <w:numId w:val="2"/>
        </w:numPr>
        <w:spacing w:after="60" w:before="60"/>
      </w:pPr>
      <w:r>
        <w:rPr>
          <w:rFonts w:ascii="Arial" w:cs="Arial" w:eastAsia="Arial" w:hAnsi="Arial"/>
          <w:color w:val="4A5568"/>
          <w:sz w:val="22"/>
          <w:szCs w:val="22"/>
        </w:rPr>
        <w:t xml:space="preserve">Legal Citations Block — All applicable TCPA subsections and FTC DNC regulations pre-populated</w:t>
      </w:r>
    </w:p>
    <w:p>
      <w:pPr>
        <w:pStyle w:val="ListParagraph"/>
        <w:numPr>
          <w:ilvl w:val="0"/>
          <w:numId w:val="2"/>
        </w:numPr>
        <w:spacing w:after="60" w:before="60"/>
      </w:pPr>
      <w:r>
        <w:rPr>
          <w:rFonts w:ascii="Arial" w:cs="Arial" w:eastAsia="Arial" w:hAnsi="Arial"/>
          <w:color w:val="4A5568"/>
          <w:sz w:val="22"/>
          <w:szCs w:val="22"/>
        </w:rPr>
        <w:t xml:space="preserve">Violation Calculator Table — Fill-in field for call count; references $500 minimum and $1,500 willful violation max</w:t>
      </w:r>
    </w:p>
    <w:p>
      <w:pPr>
        <w:pStyle w:val="ListParagraph"/>
        <w:numPr>
          <w:ilvl w:val="0"/>
          <w:numId w:val="2"/>
        </w:numPr>
        <w:spacing w:after="60" w:before="60"/>
      </w:pPr>
      <w:r>
        <w:rPr>
          <w:rFonts w:ascii="Arial" w:cs="Arial" w:eastAsia="Arial" w:hAnsi="Arial"/>
          <w:color w:val="4A5568"/>
          <w:sz w:val="22"/>
          <w:szCs w:val="22"/>
        </w:rPr>
        <w:t xml:space="preserve">Demand Paragraph — Pre-written settlement demand with blank for total dollar amount</w:t>
      </w:r>
    </w:p>
    <w:p>
      <w:pPr>
        <w:pStyle w:val="ListParagraph"/>
        <w:numPr>
          <w:ilvl w:val="0"/>
          <w:numId w:val="2"/>
        </w:numPr>
        <w:spacing w:after="60" w:before="60"/>
      </w:pPr>
      <w:r>
        <w:rPr>
          <w:rFonts w:ascii="Arial" w:cs="Arial" w:eastAsia="Arial" w:hAnsi="Arial"/>
          <w:color w:val="4A5568"/>
          <w:sz w:val="22"/>
          <w:szCs w:val="22"/>
        </w:rPr>
        <w:t xml:space="preserve">Response Deadline Clause — 14-day response window with lawsuit threat language</w:t>
      </w:r>
    </w:p>
    <w:p>
      <w:pPr>
        <w:pStyle w:val="ListParagraph"/>
        <w:numPr>
          <w:ilvl w:val="0"/>
          <w:numId w:val="2"/>
        </w:numPr>
        <w:spacing w:after="60" w:before="60"/>
      </w:pPr>
      <w:r>
        <w:rPr>
          <w:rFonts w:ascii="Arial" w:cs="Arial" w:eastAsia="Arial" w:hAnsi="Arial"/>
          <w:color w:val="4A5568"/>
          <w:sz w:val="22"/>
          <w:szCs w:val="22"/>
        </w:rPr>
        <w:t xml:space="preserve">Signature Block — Consumer name, date, contact information</w:t>
      </w:r>
    </w:p>
    <w:p>
      <w:pPr>
        <w:pStyle w:val="ListParagraph"/>
        <w:numPr>
          <w:ilvl w:val="0"/>
          <w:numId w:val="2"/>
        </w:numPr>
        <w:spacing w:after="60" w:before="60"/>
      </w:pPr>
      <w:r>
        <w:rPr>
          <w:rFonts w:ascii="Arial" w:cs="Arial" w:eastAsia="Arial" w:hAnsi="Arial"/>
          <w:color w:val="4A5568"/>
          <w:sz w:val="22"/>
          <w:szCs w:val="22"/>
        </w:rPr>
        <w:t xml:space="preserve">Exhibit Reference Line — References attached call log and DNC confirmation screenshot</w:t>
      </w:r>
    </w:p>
    <w:p>
      <w:pPr>
        <w:spacing w:after="0" w:before="100"/>
      </w:pPr>
    </w:p>
    <w:p>
      <w:pPr>
        <w:spacing w:after="80" w:before="240"/>
      </w:pPr>
      <w:r>
        <w:rPr>
          <w:rFonts w:ascii="Arial" w:cs="Arial" w:eastAsia="Arial" w:hAnsi="Arial"/>
          <w:b/>
          <w:bCs/>
          <w:color w:val="1B3A6B"/>
          <w:sz w:val="26"/>
          <w:szCs w:val="26"/>
        </w:rPr>
        <w:t xml:space="preserve">ITEM 2 — Call Documentation Log (Excel +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Format</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Microsoft Excel (.xlsx) + PDF</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Columns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10 structured data fields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Rows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Pre-formatted for up to 100 call entries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Purpose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Court-admissible evidence log; feeds directly into demand letter</w:t>
            </w:r>
          </w:p>
        </w:tc>
      </w:tr>
    </w:tbl>
    <w:p>
      <w:pPr>
        <w:spacing w:after="0" w:before="100"/>
      </w:pPr>
    </w:p>
    <w:p>
      <w:pPr>
        <w:spacing w:after="80" w:before="80"/>
      </w:pPr>
      <w:r>
        <w:rPr>
          <w:rFonts w:ascii="Arial" w:cs="Arial" w:eastAsia="Arial" w:hAnsi="Arial"/>
          <w:b/>
          <w:bCs/>
          <w:color w:val="0A1628"/>
          <w:sz w:val="22"/>
          <w:szCs w:val="22"/>
        </w:rPr>
        <w:t xml:space="preserve">Column Architecture:</w:t>
      </w:r>
    </w:p>
    <w:p>
      <w:pPr>
        <w:pStyle w:val="ListParagraph"/>
        <w:numPr>
          <w:ilvl w:val="0"/>
          <w:numId w:val="2"/>
        </w:numPr>
        <w:spacing w:after="60" w:before="60"/>
      </w:pPr>
      <w:r>
        <w:rPr>
          <w:rFonts w:ascii="Arial" w:cs="Arial" w:eastAsia="Arial" w:hAnsi="Arial"/>
          <w:color w:val="4A5568"/>
          <w:sz w:val="22"/>
          <w:szCs w:val="22"/>
        </w:rPr>
        <w:t xml:space="preserve">Column A — Entry # (auto-numbered)</w:t>
      </w:r>
    </w:p>
    <w:p>
      <w:pPr>
        <w:pStyle w:val="ListParagraph"/>
        <w:numPr>
          <w:ilvl w:val="0"/>
          <w:numId w:val="2"/>
        </w:numPr>
        <w:spacing w:after="60" w:before="60"/>
      </w:pPr>
      <w:r>
        <w:rPr>
          <w:rFonts w:ascii="Arial" w:cs="Arial" w:eastAsia="Arial" w:hAnsi="Arial"/>
          <w:color w:val="4A5568"/>
          <w:sz w:val="22"/>
          <w:szCs w:val="22"/>
        </w:rPr>
        <w:t xml:space="preserve">Column B — Date of Call (MM/DD/YYYY)</w:t>
      </w:r>
    </w:p>
    <w:p>
      <w:pPr>
        <w:pStyle w:val="ListParagraph"/>
        <w:numPr>
          <w:ilvl w:val="0"/>
          <w:numId w:val="2"/>
        </w:numPr>
        <w:spacing w:after="60" w:before="60"/>
      </w:pPr>
      <w:r>
        <w:rPr>
          <w:rFonts w:ascii="Arial" w:cs="Arial" w:eastAsia="Arial" w:hAnsi="Arial"/>
          <w:color w:val="4A5568"/>
          <w:sz w:val="22"/>
          <w:szCs w:val="22"/>
        </w:rPr>
        <w:t xml:space="preserve">Column C — Time of Call (12-hr format with AM/PM)</w:t>
      </w:r>
    </w:p>
    <w:p>
      <w:pPr>
        <w:pStyle w:val="ListParagraph"/>
        <w:numPr>
          <w:ilvl w:val="0"/>
          <w:numId w:val="2"/>
        </w:numPr>
        <w:spacing w:after="60" w:before="60"/>
      </w:pPr>
      <w:r>
        <w:rPr>
          <w:rFonts w:ascii="Arial" w:cs="Arial" w:eastAsia="Arial" w:hAnsi="Arial"/>
          <w:color w:val="4A5568"/>
          <w:sz w:val="22"/>
          <w:szCs w:val="22"/>
        </w:rPr>
        <w:t xml:space="preserve">Column D — Caller Phone Number</w:t>
      </w:r>
    </w:p>
    <w:p>
      <w:pPr>
        <w:pStyle w:val="ListParagraph"/>
        <w:numPr>
          <w:ilvl w:val="0"/>
          <w:numId w:val="2"/>
        </w:numPr>
        <w:spacing w:after="60" w:before="60"/>
      </w:pPr>
      <w:r>
        <w:rPr>
          <w:rFonts w:ascii="Arial" w:cs="Arial" w:eastAsia="Arial" w:hAnsi="Arial"/>
          <w:color w:val="4A5568"/>
          <w:sz w:val="22"/>
          <w:szCs w:val="22"/>
        </w:rPr>
        <w:t xml:space="preserve">Column E — Caller ID Name (as displayed on device)</w:t>
      </w:r>
    </w:p>
    <w:p>
      <w:pPr>
        <w:pStyle w:val="ListParagraph"/>
        <w:numPr>
          <w:ilvl w:val="0"/>
          <w:numId w:val="2"/>
        </w:numPr>
        <w:spacing w:after="60" w:before="60"/>
      </w:pPr>
      <w:r>
        <w:rPr>
          <w:rFonts w:ascii="Arial" w:cs="Arial" w:eastAsia="Arial" w:hAnsi="Arial"/>
          <w:color w:val="4A5568"/>
          <w:sz w:val="22"/>
          <w:szCs w:val="22"/>
        </w:rPr>
        <w:t xml:space="preserve">Column F — Call Type (Prerecorded / Live Agent / Abandoned / Text — dropdown)</w:t>
      </w:r>
    </w:p>
    <w:p>
      <w:pPr>
        <w:pStyle w:val="ListParagraph"/>
        <w:numPr>
          <w:ilvl w:val="0"/>
          <w:numId w:val="2"/>
        </w:numPr>
        <w:spacing w:after="60" w:before="60"/>
      </w:pPr>
      <w:r>
        <w:rPr>
          <w:rFonts w:ascii="Arial" w:cs="Arial" w:eastAsia="Arial" w:hAnsi="Arial"/>
          <w:color w:val="4A5568"/>
          <w:sz w:val="22"/>
          <w:szCs w:val="22"/>
        </w:rPr>
        <w:t xml:space="preserve">Column G — Call Duration in seconds</w:t>
      </w:r>
    </w:p>
    <w:p>
      <w:pPr>
        <w:pStyle w:val="ListParagraph"/>
        <w:numPr>
          <w:ilvl w:val="0"/>
          <w:numId w:val="2"/>
        </w:numPr>
        <w:spacing w:after="60" w:before="60"/>
      </w:pPr>
      <w:r>
        <w:rPr>
          <w:rFonts w:ascii="Arial" w:cs="Arial" w:eastAsia="Arial" w:hAnsi="Arial"/>
          <w:color w:val="4A5568"/>
          <w:sz w:val="22"/>
          <w:szCs w:val="22"/>
        </w:rPr>
        <w:t xml:space="preserve">Column H — Voicemail Left? (Yes/No dropdown)</w:t>
      </w:r>
    </w:p>
    <w:p>
      <w:pPr>
        <w:pStyle w:val="ListParagraph"/>
        <w:numPr>
          <w:ilvl w:val="0"/>
          <w:numId w:val="2"/>
        </w:numPr>
        <w:spacing w:after="60" w:before="60"/>
      </w:pPr>
      <w:r>
        <w:rPr>
          <w:rFonts w:ascii="Arial" w:cs="Arial" w:eastAsia="Arial" w:hAnsi="Arial"/>
          <w:color w:val="4A5568"/>
          <w:sz w:val="22"/>
          <w:szCs w:val="22"/>
        </w:rPr>
        <w:t xml:space="preserve">Column I — Notes (script content, agent name, company mentioned)</w:t>
      </w:r>
    </w:p>
    <w:p>
      <w:pPr>
        <w:pStyle w:val="ListParagraph"/>
        <w:numPr>
          <w:ilvl w:val="0"/>
          <w:numId w:val="2"/>
        </w:numPr>
        <w:spacing w:after="60" w:before="60"/>
      </w:pPr>
      <w:r>
        <w:rPr>
          <w:rFonts w:ascii="Arial" w:cs="Arial" w:eastAsia="Arial" w:hAnsi="Arial"/>
          <w:color w:val="4A5568"/>
          <w:sz w:val="22"/>
          <w:szCs w:val="22"/>
        </w:rPr>
        <w:t xml:space="preserve">Column J — Screenshot/Evidence Saved? (Yes/No + file reference name)</w:t>
      </w:r>
    </w:p>
    <w:p>
      <w:pPr>
        <w:spacing w:after="0" w:before="100"/>
      </w:pPr>
    </w:p>
    <w:p>
      <w:pPr>
        <w:spacing w:after="80" w:before="80"/>
      </w:pPr>
      <w:r>
        <w:rPr>
          <w:rFonts w:ascii="Arial" w:cs="Arial" w:eastAsia="Arial" w:hAnsi="Arial"/>
          <w:color w:val="4A5568"/>
          <w:sz w:val="22"/>
          <w:szCs w:val="22"/>
        </w:rPr>
        <w:t xml:space="preserve">Summary Tab auto-calculates: total call count, minimum claim value ($500 x calls), and maximum willful violation claim ($1,500 x calls). Summary table designed to paste directly into the demand letter violation calculator field.</w:t>
      </w:r>
    </w:p>
    <w:p>
      <w:pPr>
        <w:spacing w:after="0" w:before="100"/>
      </w:pPr>
    </w:p>
    <w:p>
      <w:pPr>
        <w:spacing w:after="80" w:before="240"/>
      </w:pPr>
      <w:r>
        <w:rPr>
          <w:rFonts w:ascii="Arial" w:cs="Arial" w:eastAsia="Arial" w:hAnsi="Arial"/>
          <w:b/>
          <w:bCs/>
          <w:color w:val="1B3A6B"/>
          <w:sz w:val="26"/>
          <w:szCs w:val="26"/>
        </w:rPr>
        <w:t xml:space="preserve">ITEM 3 — 18-Point Evidence Checklist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Format</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PDF — printable and digital</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Pages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2 pages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Items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18-point actionable checklist</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Purpose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Guide user through collecting all admissible evidence before filing</w:t>
            </w:r>
          </w:p>
        </w:tc>
      </w:tr>
    </w:tbl>
    <w:p>
      <w:pPr>
        <w:spacing w:after="0" w:before="100"/>
      </w:pPr>
    </w:p>
    <w:p>
      <w:pPr>
        <w:spacing w:after="80" w:before="80"/>
      </w:pPr>
      <w:r>
        <w:rPr>
          <w:rFonts w:ascii="Arial" w:cs="Arial" w:eastAsia="Arial" w:hAnsi="Arial"/>
          <w:b/>
          <w:bCs/>
          <w:color w:val="0A1628"/>
          <w:sz w:val="22"/>
          <w:szCs w:val="22"/>
        </w:rPr>
        <w:t xml:space="preserve">Checklist Items:</w:t>
      </w:r>
    </w:p>
    <w:p>
      <w:pPr>
        <w:pStyle w:val="ListParagraph"/>
        <w:numPr>
          <w:ilvl w:val="0"/>
          <w:numId w:val="2"/>
        </w:numPr>
        <w:spacing w:after="60" w:before="60"/>
      </w:pPr>
      <w:r>
        <w:rPr>
          <w:rFonts w:ascii="Arial" w:cs="Arial" w:eastAsia="Arial" w:hAnsi="Arial"/>
          <w:color w:val="4A5568"/>
          <w:sz w:val="22"/>
          <w:szCs w:val="22"/>
        </w:rPr>
        <w:t xml:space="preserve">DNC Registry confirmation screenshot (DoNotCall.gov)</w:t>
      </w:r>
    </w:p>
    <w:p>
      <w:pPr>
        <w:pStyle w:val="ListParagraph"/>
        <w:numPr>
          <w:ilvl w:val="0"/>
          <w:numId w:val="2"/>
        </w:numPr>
        <w:spacing w:after="60" w:before="60"/>
      </w:pPr>
      <w:r>
        <w:rPr>
          <w:rFonts w:ascii="Arial" w:cs="Arial" w:eastAsia="Arial" w:hAnsi="Arial"/>
          <w:color w:val="4A5568"/>
          <w:sz w:val="22"/>
          <w:szCs w:val="22"/>
        </w:rPr>
        <w:t xml:space="preserve">Date of DNC registration (must be 30+ days before calls began)</w:t>
      </w:r>
    </w:p>
    <w:p>
      <w:pPr>
        <w:pStyle w:val="ListParagraph"/>
        <w:numPr>
          <w:ilvl w:val="0"/>
          <w:numId w:val="2"/>
        </w:numPr>
        <w:spacing w:after="60" w:before="60"/>
      </w:pPr>
      <w:r>
        <w:rPr>
          <w:rFonts w:ascii="Arial" w:cs="Arial" w:eastAsia="Arial" w:hAnsi="Arial"/>
          <w:color w:val="4A5568"/>
          <w:sz w:val="22"/>
          <w:szCs w:val="22"/>
        </w:rPr>
        <w:t xml:space="preserve">Full phone call log screenshots from device</w:t>
      </w:r>
    </w:p>
    <w:p>
      <w:pPr>
        <w:pStyle w:val="ListParagraph"/>
        <w:numPr>
          <w:ilvl w:val="0"/>
          <w:numId w:val="2"/>
        </w:numPr>
        <w:spacing w:after="60" w:before="60"/>
      </w:pPr>
      <w:r>
        <w:rPr>
          <w:rFonts w:ascii="Arial" w:cs="Arial" w:eastAsia="Arial" w:hAnsi="Arial"/>
          <w:color w:val="4A5568"/>
          <w:sz w:val="22"/>
          <w:szCs w:val="22"/>
        </w:rPr>
        <w:t xml:space="preserve">Exported call log from carrier (instructions included)</w:t>
      </w:r>
    </w:p>
    <w:p>
      <w:pPr>
        <w:pStyle w:val="ListParagraph"/>
        <w:numPr>
          <w:ilvl w:val="0"/>
          <w:numId w:val="2"/>
        </w:numPr>
        <w:spacing w:after="60" w:before="60"/>
      </w:pPr>
      <w:r>
        <w:rPr>
          <w:rFonts w:ascii="Arial" w:cs="Arial" w:eastAsia="Arial" w:hAnsi="Arial"/>
          <w:color w:val="4A5568"/>
          <w:sz w:val="22"/>
          <w:szCs w:val="22"/>
        </w:rPr>
        <w:t xml:space="preserve">Voicemail recordings — saved to cloud backup with date/time metadata preserved</w:t>
      </w:r>
    </w:p>
    <w:p>
      <w:pPr>
        <w:pStyle w:val="ListParagraph"/>
        <w:numPr>
          <w:ilvl w:val="0"/>
          <w:numId w:val="2"/>
        </w:numPr>
        <w:spacing w:after="60" w:before="60"/>
      </w:pPr>
      <w:r>
        <w:rPr>
          <w:rFonts w:ascii="Arial" w:cs="Arial" w:eastAsia="Arial" w:hAnsi="Arial"/>
          <w:color w:val="4A5568"/>
          <w:sz w:val="22"/>
          <w:szCs w:val="22"/>
        </w:rPr>
        <w:t xml:space="preserve">Text message screenshots if applicable</w:t>
      </w:r>
    </w:p>
    <w:p>
      <w:pPr>
        <w:pStyle w:val="ListParagraph"/>
        <w:numPr>
          <w:ilvl w:val="0"/>
          <w:numId w:val="2"/>
        </w:numPr>
        <w:spacing w:after="60" w:before="60"/>
      </w:pPr>
      <w:r>
        <w:rPr>
          <w:rFonts w:ascii="Arial" w:cs="Arial" w:eastAsia="Arial" w:hAnsi="Arial"/>
          <w:color w:val="4A5568"/>
          <w:sz w:val="22"/>
          <w:szCs w:val="22"/>
        </w:rPr>
        <w:t xml:space="preserve">Voicemail transcripts</w:t>
      </w:r>
    </w:p>
    <w:p>
      <w:pPr>
        <w:pStyle w:val="ListParagraph"/>
        <w:numPr>
          <w:ilvl w:val="0"/>
          <w:numId w:val="2"/>
        </w:numPr>
        <w:spacing w:after="60" w:before="60"/>
      </w:pPr>
      <w:r>
        <w:rPr>
          <w:rFonts w:ascii="Arial" w:cs="Arial" w:eastAsia="Arial" w:hAnsi="Arial"/>
          <w:color w:val="4A5568"/>
          <w:sz w:val="22"/>
          <w:szCs w:val="22"/>
        </w:rPr>
        <w:t xml:space="preserve">Caller ID screenshots showing number and name</w:t>
      </w:r>
    </w:p>
    <w:p>
      <w:pPr>
        <w:pStyle w:val="ListParagraph"/>
        <w:numPr>
          <w:ilvl w:val="0"/>
          <w:numId w:val="2"/>
        </w:numPr>
        <w:spacing w:after="60" w:before="60"/>
      </w:pPr>
      <w:r>
        <w:rPr>
          <w:rFonts w:ascii="Arial" w:cs="Arial" w:eastAsia="Arial" w:hAnsi="Arial"/>
          <w:color w:val="4A5568"/>
          <w:sz w:val="22"/>
          <w:szCs w:val="22"/>
        </w:rPr>
        <w:t xml:space="preserve">Reverse phone lookup results (screenshot from lookup tool)</w:t>
      </w:r>
    </w:p>
    <w:p>
      <w:pPr>
        <w:pStyle w:val="ListParagraph"/>
        <w:numPr>
          <w:ilvl w:val="0"/>
          <w:numId w:val="2"/>
        </w:numPr>
        <w:spacing w:after="60" w:before="60"/>
      </w:pPr>
      <w:r>
        <w:rPr>
          <w:rFonts w:ascii="Arial" w:cs="Arial" w:eastAsia="Arial" w:hAnsi="Arial"/>
          <w:color w:val="4A5568"/>
          <w:sz w:val="22"/>
          <w:szCs w:val="22"/>
        </w:rPr>
        <w:t xml:space="preserve">Company name and business address from lookup or call interaction</w:t>
      </w:r>
    </w:p>
    <w:p>
      <w:pPr>
        <w:pStyle w:val="ListParagraph"/>
        <w:numPr>
          <w:ilvl w:val="0"/>
          <w:numId w:val="2"/>
        </w:numPr>
        <w:spacing w:after="60" w:before="60"/>
      </w:pPr>
      <w:r>
        <w:rPr>
          <w:rFonts w:ascii="Arial" w:cs="Arial" w:eastAsia="Arial" w:hAnsi="Arial"/>
          <w:color w:val="4A5568"/>
          <w:sz w:val="22"/>
          <w:szCs w:val="22"/>
        </w:rPr>
        <w:t xml:space="preserve">Registered Agent information from Secretary of State (instructions included)</w:t>
      </w:r>
    </w:p>
    <w:p>
      <w:pPr>
        <w:pStyle w:val="ListParagraph"/>
        <w:numPr>
          <w:ilvl w:val="0"/>
          <w:numId w:val="2"/>
        </w:numPr>
        <w:spacing w:after="60" w:before="60"/>
      </w:pPr>
      <w:r>
        <w:rPr>
          <w:rFonts w:ascii="Arial" w:cs="Arial" w:eastAsia="Arial" w:hAnsi="Arial"/>
          <w:color w:val="4A5568"/>
          <w:sz w:val="22"/>
          <w:szCs w:val="22"/>
        </w:rPr>
        <w:t xml:space="preserve">Written opt-out requests sent to company (date-stamped copies)</w:t>
      </w:r>
    </w:p>
    <w:p>
      <w:pPr>
        <w:pStyle w:val="ListParagraph"/>
        <w:numPr>
          <w:ilvl w:val="0"/>
          <w:numId w:val="2"/>
        </w:numPr>
        <w:spacing w:after="60" w:before="60"/>
      </w:pPr>
      <w:r>
        <w:rPr>
          <w:rFonts w:ascii="Arial" w:cs="Arial" w:eastAsia="Arial" w:hAnsi="Arial"/>
          <w:color w:val="4A5568"/>
          <w:sz w:val="22"/>
          <w:szCs w:val="22"/>
        </w:rPr>
        <w:t xml:space="preserve">Any prior demand letter or cease-and-desist sent</w:t>
      </w:r>
    </w:p>
    <w:p>
      <w:pPr>
        <w:pStyle w:val="ListParagraph"/>
        <w:numPr>
          <w:ilvl w:val="0"/>
          <w:numId w:val="2"/>
        </w:numPr>
        <w:spacing w:after="60" w:before="60"/>
      </w:pPr>
      <w:r>
        <w:rPr>
          <w:rFonts w:ascii="Arial" w:cs="Arial" w:eastAsia="Arial" w:hAnsi="Arial"/>
          <w:color w:val="4A5568"/>
          <w:sz w:val="22"/>
          <w:szCs w:val="22"/>
        </w:rPr>
        <w:t xml:space="preserve">Company response — or documentation of non-response</w:t>
      </w:r>
    </w:p>
    <w:p>
      <w:pPr>
        <w:pStyle w:val="ListParagraph"/>
        <w:numPr>
          <w:ilvl w:val="0"/>
          <w:numId w:val="2"/>
        </w:numPr>
        <w:spacing w:after="60" w:before="60"/>
      </w:pPr>
      <w:r>
        <w:rPr>
          <w:rFonts w:ascii="Arial" w:cs="Arial" w:eastAsia="Arial" w:hAnsi="Arial"/>
          <w:color w:val="4A5568"/>
          <w:sz w:val="22"/>
          <w:szCs w:val="22"/>
        </w:rPr>
        <w:t xml:space="preserve">Carrier records request (major carrier instructions included)</w:t>
      </w:r>
    </w:p>
    <w:p>
      <w:pPr>
        <w:pStyle w:val="ListParagraph"/>
        <w:numPr>
          <w:ilvl w:val="0"/>
          <w:numId w:val="2"/>
        </w:numPr>
        <w:spacing w:after="60" w:before="60"/>
      </w:pPr>
      <w:r>
        <w:rPr>
          <w:rFonts w:ascii="Arial" w:cs="Arial" w:eastAsia="Arial" w:hAnsi="Arial"/>
          <w:color w:val="4A5568"/>
          <w:sz w:val="22"/>
          <w:szCs w:val="22"/>
        </w:rPr>
        <w:t xml:space="preserve">FTC complaint confirmation number from ReportFraud.ftc.gov</w:t>
      </w:r>
    </w:p>
    <w:p>
      <w:pPr>
        <w:pStyle w:val="ListParagraph"/>
        <w:numPr>
          <w:ilvl w:val="0"/>
          <w:numId w:val="2"/>
        </w:numPr>
        <w:spacing w:after="60" w:before="60"/>
      </w:pPr>
      <w:r>
        <w:rPr>
          <w:rFonts w:ascii="Arial" w:cs="Arial" w:eastAsia="Arial" w:hAnsi="Arial"/>
          <w:color w:val="4A5568"/>
          <w:sz w:val="22"/>
          <w:szCs w:val="22"/>
        </w:rPr>
        <w:t xml:space="preserve">FCC complaint confirmation number from consumercomplaints.fcc.gov</w:t>
      </w:r>
    </w:p>
    <w:p>
      <w:pPr>
        <w:pStyle w:val="ListParagraph"/>
        <w:numPr>
          <w:ilvl w:val="0"/>
          <w:numId w:val="2"/>
        </w:numPr>
        <w:spacing w:after="60" w:before="60"/>
      </w:pPr>
      <w:r>
        <w:rPr>
          <w:rFonts w:ascii="Arial" w:cs="Arial" w:eastAsia="Arial" w:hAnsi="Arial"/>
          <w:color w:val="4A5568"/>
          <w:sz w:val="22"/>
          <w:szCs w:val="22"/>
        </w:rPr>
        <w:t xml:space="preserve">Any relevant call recordings (state-specific consent law guidance included)</w:t>
      </w:r>
    </w:p>
    <w:p>
      <w:pPr>
        <w:spacing w:after="0" w:before="100"/>
      </w:pPr>
    </w:p>
    <w:p>
      <w:pPr>
        <w:spacing w:after="80" w:before="240"/>
      </w:pPr>
      <w:r>
        <w:rPr>
          <w:rFonts w:ascii="Arial" w:cs="Arial" w:eastAsia="Arial" w:hAnsi="Arial"/>
          <w:b/>
          <w:bCs/>
          <w:color w:val="1B3A6B"/>
          <w:sz w:val="26"/>
          <w:szCs w:val="26"/>
        </w:rPr>
        <w:t xml:space="preserve">ITEM 4 — Registered Agent Lookup Guide — All 50 States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Format</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PDF</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Pages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4 pages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Scope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All 50 U.S. states with direct Secretary of State database links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Purpose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Identify the correct legal service address for the demand letter</w:t>
            </w:r>
          </w:p>
        </w:tc>
      </w:tr>
    </w:tbl>
    <w:p>
      <w:pPr>
        <w:spacing w:after="0" w:before="100"/>
      </w:pPr>
    </w:p>
    <w:p>
      <w:pPr>
        <w:spacing w:after="80" w:before="80"/>
      </w:pPr>
      <w:r>
        <w:rPr>
          <w:rFonts w:ascii="Arial" w:cs="Arial" w:eastAsia="Arial" w:hAnsi="Arial"/>
          <w:b/>
          <w:bCs/>
          <w:color w:val="0A1628"/>
          <w:sz w:val="22"/>
          <w:szCs w:val="22"/>
        </w:rPr>
        <w:t xml:space="preserve">Architecture:</w:t>
      </w:r>
    </w:p>
    <w:p>
      <w:pPr>
        <w:pStyle w:val="ListParagraph"/>
        <w:numPr>
          <w:ilvl w:val="0"/>
          <w:numId w:val="2"/>
        </w:numPr>
        <w:spacing w:after="60" w:before="60"/>
      </w:pPr>
      <w:r>
        <w:rPr>
          <w:rFonts w:ascii="Arial" w:cs="Arial" w:eastAsia="Arial" w:hAnsi="Arial"/>
          <w:color w:val="4A5568"/>
          <w:sz w:val="22"/>
          <w:szCs w:val="22"/>
        </w:rPr>
        <w:t xml:space="preserve">Introduction — Why the registered agent address is the correct service address for legal correspondence</w:t>
      </w:r>
    </w:p>
    <w:p>
      <w:pPr>
        <w:pStyle w:val="ListParagraph"/>
        <w:numPr>
          <w:ilvl w:val="0"/>
          <w:numId w:val="2"/>
        </w:numPr>
        <w:spacing w:after="60" w:before="60"/>
      </w:pPr>
      <w:r>
        <w:rPr>
          <w:rFonts w:ascii="Arial" w:cs="Arial" w:eastAsia="Arial" w:hAnsi="Arial"/>
          <w:color w:val="4A5568"/>
          <w:sz w:val="22"/>
          <w:szCs w:val="22"/>
        </w:rPr>
        <w:t xml:space="preserve">Step-by-Step Lookup Instructions — General workflow applicable to all states</w:t>
      </w:r>
    </w:p>
    <w:p>
      <w:pPr>
        <w:pStyle w:val="ListParagraph"/>
        <w:numPr>
          <w:ilvl w:val="0"/>
          <w:numId w:val="2"/>
        </w:numPr>
        <w:spacing w:after="60" w:before="60"/>
      </w:pPr>
      <w:r>
        <w:rPr>
          <w:rFonts w:ascii="Arial" w:cs="Arial" w:eastAsia="Arial" w:hAnsi="Arial"/>
          <w:color w:val="4A5568"/>
          <w:sz w:val="22"/>
          <w:szCs w:val="22"/>
        </w:rPr>
        <w:t xml:space="preserve">50-State Directory Table — State name, Secretary of State website, business entity search URL, and availability notes</w:t>
      </w:r>
    </w:p>
    <w:p>
      <w:pPr>
        <w:pStyle w:val="ListParagraph"/>
        <w:numPr>
          <w:ilvl w:val="0"/>
          <w:numId w:val="2"/>
        </w:numPr>
        <w:spacing w:after="60" w:before="60"/>
      </w:pPr>
      <w:r>
        <w:rPr>
          <w:rFonts w:ascii="Arial" w:cs="Arial" w:eastAsia="Arial" w:hAnsi="Arial"/>
          <w:color w:val="4A5568"/>
          <w:sz w:val="22"/>
          <w:szCs w:val="22"/>
        </w:rPr>
        <w:t xml:space="preserve">If No Result Found — Instructions for BBB, state AG consumer database, and USPS address verification</w:t>
      </w:r>
    </w:p>
    <w:p>
      <w:pPr>
        <w:pStyle w:val="ListParagraph"/>
        <w:numPr>
          <w:ilvl w:val="0"/>
          <w:numId w:val="2"/>
        </w:numPr>
        <w:spacing w:after="60" w:before="60"/>
      </w:pPr>
      <w:r>
        <w:rPr>
          <w:rFonts w:ascii="Arial" w:cs="Arial" w:eastAsia="Arial" w:hAnsi="Arial"/>
          <w:color w:val="4A5568"/>
          <w:sz w:val="22"/>
          <w:szCs w:val="22"/>
        </w:rPr>
        <w:t xml:space="preserve">Spoofed Number Warning — Clear guidance on when a number cannot be traced and remaining options</w:t>
      </w:r>
    </w:p>
    <w:p>
      <w:pPr>
        <w:pStyle w:val="ListParagraph"/>
        <w:numPr>
          <w:ilvl w:val="0"/>
          <w:numId w:val="2"/>
        </w:numPr>
        <w:spacing w:after="60" w:before="60"/>
      </w:pPr>
      <w:r>
        <w:rPr>
          <w:rFonts w:ascii="Arial" w:cs="Arial" w:eastAsia="Arial" w:hAnsi="Arial"/>
          <w:color w:val="4A5568"/>
          <w:sz w:val="22"/>
          <w:szCs w:val="22"/>
        </w:rPr>
        <w:t xml:space="preserve">Screenshot Instructions — How to capture and date-stamp the registered agent result as evidence</w:t>
      </w:r>
    </w:p>
    <w:p>
      <w:pPr>
        <w:spacing w:after="0" w:before="100"/>
      </w:pPr>
    </w:p>
    <w:p>
      <w:pPr>
        <w:spacing w:after="80" w:before="240"/>
      </w:pPr>
      <w:r>
        <w:rPr>
          <w:rFonts w:ascii="Arial" w:cs="Arial" w:eastAsia="Arial" w:hAnsi="Arial"/>
          <w:b/>
          <w:bCs/>
          <w:color w:val="1B3A6B"/>
          <w:sz w:val="26"/>
          <w:szCs w:val="26"/>
        </w:rPr>
        <w:t xml:space="preserve">ITEM 5 — TCPA Rights &amp; Violations Reference Guide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Format</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PDF</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Pages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6 pages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Reading Level</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Consumer-accessible — no legal background required</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Purpose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Educate user on exactly what is and is not a TCPA violation</w:t>
            </w:r>
          </w:p>
        </w:tc>
      </w:tr>
    </w:tbl>
    <w:p>
      <w:pPr>
        <w:spacing w:after="0" w:before="100"/>
      </w:pPr>
    </w:p>
    <w:p>
      <w:pPr>
        <w:spacing w:after="80" w:before="80"/>
      </w:pPr>
      <w:r>
        <w:rPr>
          <w:rFonts w:ascii="Arial" w:cs="Arial" w:eastAsia="Arial" w:hAnsi="Arial"/>
          <w:b/>
          <w:bCs/>
          <w:color w:val="0A1628"/>
          <w:sz w:val="22"/>
          <w:szCs w:val="22"/>
        </w:rPr>
        <w:t xml:space="preserve">Section Architecture:</w:t>
      </w:r>
    </w:p>
    <w:p>
      <w:pPr>
        <w:pStyle w:val="ListParagraph"/>
        <w:numPr>
          <w:ilvl w:val="0"/>
          <w:numId w:val="2"/>
        </w:numPr>
        <w:spacing w:after="60" w:before="60"/>
      </w:pPr>
      <w:r>
        <w:rPr>
          <w:rFonts w:ascii="Arial" w:cs="Arial" w:eastAsia="Arial" w:hAnsi="Arial"/>
          <w:color w:val="4A5568"/>
          <w:sz w:val="22"/>
          <w:szCs w:val="22"/>
        </w:rPr>
        <w:t xml:space="preserve">What the TCPA Covers — Robocalls, auto-dialers, prerecorded messages, and texts to cell phones and landlines</w:t>
      </w:r>
    </w:p>
    <w:p>
      <w:pPr>
        <w:pStyle w:val="ListParagraph"/>
        <w:numPr>
          <w:ilvl w:val="0"/>
          <w:numId w:val="2"/>
        </w:numPr>
        <w:spacing w:after="60" w:before="60"/>
      </w:pPr>
      <w:r>
        <w:rPr>
          <w:rFonts w:ascii="Arial" w:cs="Arial" w:eastAsia="Arial" w:hAnsi="Arial"/>
          <w:color w:val="4A5568"/>
          <w:sz w:val="22"/>
          <w:szCs w:val="22"/>
        </w:rPr>
        <w:t xml:space="preserve">What the DNC Registry Does (and Does Not Do) — Scope, limitations, 31-day grace period, and exemptions</w:t>
      </w:r>
    </w:p>
    <w:p>
      <w:pPr>
        <w:pStyle w:val="ListParagraph"/>
        <w:numPr>
          <w:ilvl w:val="0"/>
          <w:numId w:val="2"/>
        </w:numPr>
        <w:spacing w:after="60" w:before="60"/>
      </w:pPr>
      <w:r>
        <w:rPr>
          <w:rFonts w:ascii="Arial" w:cs="Arial" w:eastAsia="Arial" w:hAnsi="Arial"/>
          <w:color w:val="4A5568"/>
          <w:sz w:val="22"/>
          <w:szCs w:val="22"/>
        </w:rPr>
        <w:t xml:space="preserve">Who Is Exempt — Political campaigns, non-profits, informational calls, established business relationships</w:t>
      </w:r>
    </w:p>
    <w:p>
      <w:pPr>
        <w:pStyle w:val="ListParagraph"/>
        <w:numPr>
          <w:ilvl w:val="0"/>
          <w:numId w:val="2"/>
        </w:numPr>
        <w:spacing w:after="60" w:before="60"/>
      </w:pPr>
      <w:r>
        <w:rPr>
          <w:rFonts w:ascii="Arial" w:cs="Arial" w:eastAsia="Arial" w:hAnsi="Arial"/>
          <w:color w:val="4A5568"/>
          <w:sz w:val="22"/>
          <w:szCs w:val="22"/>
        </w:rPr>
        <w:t xml:space="preserve">Six Defined Violation Types — With plain-English examples</w:t>
      </w:r>
    </w:p>
    <w:p>
      <w:pPr>
        <w:pStyle w:val="ListParagraph"/>
        <w:numPr>
          <w:ilvl w:val="0"/>
          <w:numId w:val="2"/>
        </w:numPr>
        <w:spacing w:after="60" w:before="60"/>
      </w:pPr>
      <w:r>
        <w:rPr>
          <w:rFonts w:ascii="Arial" w:cs="Arial" w:eastAsia="Arial" w:hAnsi="Arial"/>
          <w:color w:val="4A5568"/>
          <w:sz w:val="22"/>
          <w:szCs w:val="22"/>
        </w:rPr>
        <w:t xml:space="preserve">TRACED Act (2019) — Enhanced FCC enforcement authority up to $10,000 per call for intentional violations</w:t>
      </w:r>
    </w:p>
    <w:p>
      <w:pPr>
        <w:pStyle w:val="ListParagraph"/>
        <w:numPr>
          <w:ilvl w:val="0"/>
          <w:numId w:val="2"/>
        </w:numPr>
        <w:spacing w:after="60" w:before="60"/>
      </w:pPr>
      <w:r>
        <w:rPr>
          <w:rFonts w:ascii="Arial" w:cs="Arial" w:eastAsia="Arial" w:hAnsi="Arial"/>
          <w:color w:val="4A5568"/>
          <w:sz w:val="22"/>
          <w:szCs w:val="22"/>
        </w:rPr>
        <w:t xml:space="preserve">Facebook v. Duguid Impact — Autodialer claim scope changes; DNC registry claims remain fully intact</w:t>
      </w:r>
    </w:p>
    <w:p>
      <w:pPr>
        <w:pStyle w:val="ListParagraph"/>
        <w:numPr>
          <w:ilvl w:val="0"/>
          <w:numId w:val="2"/>
        </w:numPr>
        <w:spacing w:after="60" w:before="60"/>
      </w:pPr>
      <w:r>
        <w:rPr>
          <w:rFonts w:ascii="Arial" w:cs="Arial" w:eastAsia="Arial" w:hAnsi="Arial"/>
          <w:color w:val="4A5568"/>
          <w:sz w:val="22"/>
          <w:szCs w:val="22"/>
        </w:rPr>
        <w:t xml:space="preserve">Statute of Limitations — 1–4 year window by state and claim type with urgency guidance</w:t>
      </w:r>
    </w:p>
    <w:p>
      <w:pPr>
        <w:pStyle w:val="ListParagraph"/>
        <w:numPr>
          <w:ilvl w:val="0"/>
          <w:numId w:val="2"/>
        </w:numPr>
        <w:spacing w:after="60" w:before="60"/>
      </w:pPr>
      <w:r>
        <w:rPr>
          <w:rFonts w:ascii="Arial" w:cs="Arial" w:eastAsia="Arial" w:hAnsi="Arial"/>
          <w:color w:val="4A5568"/>
          <w:sz w:val="22"/>
          <w:szCs w:val="22"/>
        </w:rPr>
        <w:t xml:space="preserve">State-Specific Stacking — Florida 501.059, Oklahoma OTSA, Arkansas, Washington state additions</w:t>
      </w:r>
    </w:p>
    <w:p>
      <w:pPr>
        <w:pStyle w:val="ListParagraph"/>
        <w:numPr>
          <w:ilvl w:val="0"/>
          <w:numId w:val="2"/>
        </w:numPr>
        <w:spacing w:after="60" w:before="60"/>
      </w:pPr>
      <w:r>
        <w:rPr>
          <w:rFonts w:ascii="Arial" w:cs="Arial" w:eastAsia="Arial" w:hAnsi="Arial"/>
          <w:color w:val="4A5568"/>
          <w:sz w:val="22"/>
          <w:szCs w:val="22"/>
        </w:rPr>
        <w:t xml:space="preserve">Small Claims vs. Federal Court — When to self-represent vs. seek a TCPA attorney</w:t>
      </w:r>
    </w:p>
    <w:p>
      <w:pPr>
        <w:pStyle w:val="ListParagraph"/>
        <w:numPr>
          <w:ilvl w:val="0"/>
          <w:numId w:val="2"/>
        </w:numPr>
        <w:spacing w:after="60" w:before="60"/>
      </w:pPr>
      <w:r>
        <w:rPr>
          <w:rFonts w:ascii="Arial" w:cs="Arial" w:eastAsia="Arial" w:hAnsi="Arial"/>
          <w:color w:val="4A5568"/>
          <w:sz w:val="22"/>
          <w:szCs w:val="22"/>
        </w:rPr>
        <w:t xml:space="preserve">Attorney Referral Indicators — Cases over $5,000 or 10+ calls where contingency representation is recommended</w:t>
      </w:r>
    </w:p>
    <w:p>
      <w:pPr>
        <w:spacing w:after="0" w:before="100"/>
      </w:pPr>
    </w:p>
    <w:p>
      <w:pPr>
        <w:spacing w:after="80" w:before="240"/>
      </w:pPr>
      <w:r>
        <w:rPr>
          <w:rFonts w:ascii="Arial" w:cs="Arial" w:eastAsia="Arial" w:hAnsi="Arial"/>
          <w:b/>
          <w:bCs/>
          <w:color w:val="1B3A6B"/>
          <w:sz w:val="26"/>
          <w:szCs w:val="26"/>
        </w:rPr>
        <w:t xml:space="preserve">ITEM 6 — FTC &amp; FCC Complaint Filing Guide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Format</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PDF with step-by-step instructions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Pages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3 pages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Includes</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Field-by-field form guidance for both agencies</w:t>
            </w:r>
          </w:p>
        </w:tc>
      </w:tr>
      <w:tr>
        <w:tc>
          <w:tcPr>
            <w:tcW w:type="dxa" w:w="3200"/>
            <w:tcBorders>
              <w:top w:val="single" w:color="CCCCCC" w:sz="1"/>
              <w:left w:val="single" w:color="CCCCCC" w:sz="1"/>
              <w:bottom w:val="single" w:color="CCCCCC" w:sz="1"/>
              <w:right w:val="single" w:color="CCCCCC" w:sz="1"/>
            </w:tcBorders>
            <w:shd w:fill="F0F4FA" w:val="clear"/>
            <w:tcMar>
              <w:top w:type="dxa" w:w="100"/>
              <w:left w:type="dxa" w:w="160"/>
              <w:bottom w:type="dxa" w:w="100"/>
              <w:right w:type="dxa" w:w="160"/>
            </w:tcMar>
          </w:tcPr>
          <w:p>
            <w:r>
              <w:rPr>
                <w:rFonts w:ascii="Arial" w:cs="Arial" w:eastAsia="Arial" w:hAnsi="Arial"/>
                <w:b/>
                <w:bCs/>
                <w:color w:val="0A1628"/>
                <w:sz w:val="21"/>
                <w:szCs w:val="21"/>
              </w:rPr>
              <w:t xml:space="preserve">Purpose</w:t>
            </w:r>
          </w:p>
        </w:tc>
        <w:tc>
          <w:tcPr>
            <w:tcW w:type="dxa" w:w="61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4A5568"/>
                <w:sz w:val="21"/>
                <w:szCs w:val="21"/>
              </w:rPr>
              <w:t xml:space="preserve">Create official government record that strengthens any civil legal case</w:t>
            </w:r>
          </w:p>
        </w:tc>
      </w:tr>
    </w:tbl>
    <w:p>
      <w:pPr>
        <w:spacing w:after="0" w:before="100"/>
      </w:pPr>
    </w:p>
    <w:p>
      <w:pPr>
        <w:spacing w:after="80" w:before="80"/>
      </w:pPr>
      <w:r>
        <w:rPr>
          <w:rFonts w:ascii="Arial" w:cs="Arial" w:eastAsia="Arial" w:hAnsi="Arial"/>
          <w:b/>
          <w:bCs/>
          <w:color w:val="0A1628"/>
          <w:sz w:val="22"/>
          <w:szCs w:val="22"/>
        </w:rPr>
        <w:t xml:space="preserve">Architecture:</w:t>
      </w:r>
    </w:p>
    <w:p>
      <w:pPr>
        <w:pStyle w:val="ListParagraph"/>
        <w:numPr>
          <w:ilvl w:val="0"/>
          <w:numId w:val="2"/>
        </w:numPr>
        <w:spacing w:after="60" w:before="60"/>
      </w:pPr>
      <w:r>
        <w:rPr>
          <w:rFonts w:ascii="Arial" w:cs="Arial" w:eastAsia="Arial" w:hAnsi="Arial"/>
          <w:color w:val="4A5568"/>
          <w:sz w:val="22"/>
          <w:szCs w:val="22"/>
        </w:rPr>
        <w:t xml:space="preserve">Why Filing Matters — Government complaint records corroborate individual claims and trigger enforcement investigations</w:t>
      </w:r>
    </w:p>
    <w:p>
      <w:pPr>
        <w:pStyle w:val="ListParagraph"/>
        <w:numPr>
          <w:ilvl w:val="0"/>
          <w:numId w:val="2"/>
        </w:numPr>
        <w:spacing w:after="60" w:before="60"/>
      </w:pPr>
      <w:r>
        <w:rPr>
          <w:rFonts w:ascii="Arial" w:cs="Arial" w:eastAsia="Arial" w:hAnsi="Arial"/>
          <w:color w:val="4A5568"/>
          <w:sz w:val="22"/>
          <w:szCs w:val="22"/>
        </w:rPr>
        <w:t xml:space="preserve">FTC Complaint Walkthrough — Step-by-step for ReportFraud.ftc.gov with field-by-field instructions</w:t>
      </w:r>
    </w:p>
    <w:p>
      <w:pPr>
        <w:pStyle w:val="ListParagraph"/>
        <w:numPr>
          <w:ilvl w:val="0"/>
          <w:numId w:val="2"/>
        </w:numPr>
        <w:spacing w:after="60" w:before="60"/>
      </w:pPr>
      <w:r>
        <w:rPr>
          <w:rFonts w:ascii="Arial" w:cs="Arial" w:eastAsia="Arial" w:hAnsi="Arial"/>
          <w:color w:val="4A5568"/>
          <w:sz w:val="22"/>
          <w:szCs w:val="22"/>
        </w:rPr>
        <w:t xml:space="preserve">FCC Complaint Walkthrough — Step-by-step for consumercomplaints.fcc.gov including how to document confirmation number</w:t>
      </w:r>
    </w:p>
    <w:p>
      <w:pPr>
        <w:pStyle w:val="ListParagraph"/>
        <w:numPr>
          <w:ilvl w:val="0"/>
          <w:numId w:val="2"/>
        </w:numPr>
        <w:spacing w:after="60" w:before="60"/>
      </w:pPr>
      <w:r>
        <w:rPr>
          <w:rFonts w:ascii="Arial" w:cs="Arial" w:eastAsia="Arial" w:hAnsi="Arial"/>
          <w:color w:val="4A5568"/>
          <w:sz w:val="22"/>
          <w:szCs w:val="22"/>
        </w:rPr>
        <w:t xml:space="preserve">State AG Complaint Section — How to find and file with your state Attorney General consumer protection division</w:t>
      </w:r>
    </w:p>
    <w:p>
      <w:pPr>
        <w:pStyle w:val="ListParagraph"/>
        <w:numPr>
          <w:ilvl w:val="0"/>
          <w:numId w:val="2"/>
        </w:numPr>
        <w:spacing w:after="60" w:before="60"/>
      </w:pPr>
      <w:r>
        <w:rPr>
          <w:rFonts w:ascii="Arial" w:cs="Arial" w:eastAsia="Arial" w:hAnsi="Arial"/>
          <w:color w:val="4A5568"/>
          <w:sz w:val="22"/>
          <w:szCs w:val="22"/>
        </w:rPr>
        <w:t xml:space="preserve">How to Reference Complaints in Your Demand Letter — Pre-written sentence to insert</w:t>
      </w:r>
    </w:p>
    <w:p>
      <w:pPr>
        <w:pStyle w:val="ListParagraph"/>
        <w:numPr>
          <w:ilvl w:val="0"/>
          <w:numId w:val="2"/>
        </w:numPr>
        <w:spacing w:after="60" w:before="60"/>
      </w:pPr>
      <w:r>
        <w:rPr>
          <w:rFonts w:ascii="Arial" w:cs="Arial" w:eastAsia="Arial" w:hAnsi="Arial"/>
          <w:color w:val="4A5568"/>
          <w:sz w:val="22"/>
          <w:szCs w:val="22"/>
        </w:rPr>
        <w:t xml:space="preserve">What Happens After Filing — Realistic expectations for government action versus individual civil action timeline</w:t>
      </w:r>
    </w:p>
    <w:p>
      <w:pPr>
        <w:spacing w:after="0" w:before="100"/>
      </w:pPr>
    </w:p>
    <w:p>
      <w:r>
        <w:br w:type="page"/>
      </w:r>
    </w:p>
    <w:p>
      <w:pPr>
        <w:spacing w:after="120" w:before="360"/>
      </w:pPr>
      <w:r>
        <w:rPr>
          <w:rFonts w:ascii="Arial" w:cs="Arial" w:eastAsia="Arial" w:hAnsi="Arial"/>
          <w:b/>
          <w:bCs/>
          <w:color w:val="0A1628"/>
          <w:sz w:val="36"/>
          <w:szCs w:val="36"/>
        </w:rPr>
        <w:t xml:space="preserve">SECTION 3 — GUMROAD PRODUCT LISTING COPY</w:t>
      </w:r>
    </w:p>
    <w:p>
      <w:pPr>
        <w:pBdr>
          <w:bottom w:val="single" w:color="C9A84C" w:sz="6" w:space="1"/>
        </w:pBdr>
        <w:spacing w:after="160" w:before="160"/>
      </w:pPr>
    </w:p>
    <w:p>
      <w:pPr>
        <w:spacing w:after="80" w:before="80"/>
      </w:pPr>
      <w:r>
        <w:rPr>
          <w:rFonts w:ascii="Arial" w:cs="Arial" w:eastAsia="Arial" w:hAnsi="Arial"/>
          <w:color w:val="4A5568"/>
          <w:sz w:val="22"/>
          <w:szCs w:val="22"/>
        </w:rPr>
        <w:t xml:space="preserve">The following copy is engineered for the Gumroad product listing. Copy all content as written. Do not include pricing in the listing — pricing is set directly in Gumroad's pricing field and adjusted independently.</w:t>
      </w:r>
    </w:p>
    <w:p>
      <w:pPr>
        <w:spacing w:after="0" w:before="100"/>
      </w:pPr>
    </w:p>
    <w:p>
      <w:pPr>
        <w:spacing w:after="80" w:before="240"/>
      </w:pPr>
      <w:r>
        <w:rPr>
          <w:rFonts w:ascii="Arial" w:cs="Arial" w:eastAsia="Arial" w:hAnsi="Arial"/>
          <w:b/>
          <w:bCs/>
          <w:color w:val="1B3A6B"/>
          <w:sz w:val="26"/>
          <w:szCs w:val="26"/>
        </w:rPr>
        <w:t xml:space="preserve">Product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4"/>
              <w:bottom w:val="single" w:color="C9A84C" w:sz="2"/>
              <w:right w:val="single" w:color="C9A84C" w:sz="2"/>
            </w:tcBorders>
            <w:shd w:fill="F0F4FA" w:val="clear"/>
            <w:tcMar>
              <w:top w:type="dxa" w:w="160"/>
              <w:left w:type="dxa" w:w="240"/>
              <w:bottom w:type="dxa" w:w="160"/>
              <w:right w:type="dxa" w:w="240"/>
            </w:tcMar>
          </w:tcPr>
          <w:p>
            <w:pPr>
              <w:spacing w:after="60" w:before="0"/>
            </w:pPr>
            <w:r>
              <w:rPr>
                <w:rFonts w:ascii="Arial" w:cs="Arial" w:eastAsia="Arial" w:hAnsi="Arial"/>
                <w:b/>
                <w:bCs/>
                <w:color w:val="C9A84C"/>
                <w:sz w:val="21"/>
                <w:szCs w:val="21"/>
              </w:rPr>
              <w:t xml:space="preserve">LISTING TITLE</w:t>
            </w:r>
          </w:p>
          <w:p>
            <w:pPr>
              <w:spacing w:after="0" w:before="0"/>
            </w:pPr>
            <w:r>
              <w:rPr>
                <w:rFonts w:ascii="Arial" w:cs="Arial" w:eastAsia="Arial" w:hAnsi="Arial"/>
                <w:color w:val="4A5568"/>
                <w:sz w:val="21"/>
                <w:szCs w:val="21"/>
              </w:rPr>
              <w:t xml:space="preserve">BVP RoboStop Toolkit — The Complete TCPA Action Pack to Document, Demand, and Get Paid for Illegal Robocalls</w:t>
            </w:r>
          </w:p>
        </w:tc>
      </w:tr>
    </w:tbl>
    <w:p>
      <w:pPr>
        <w:spacing w:after="0" w:before="100"/>
      </w:pPr>
    </w:p>
    <w:p>
      <w:pPr>
        <w:spacing w:after="80" w:before="240"/>
      </w:pPr>
      <w:r>
        <w:rPr>
          <w:rFonts w:ascii="Arial" w:cs="Arial" w:eastAsia="Arial" w:hAnsi="Arial"/>
          <w:b/>
          <w:bCs/>
          <w:color w:val="1B3A6B"/>
          <w:sz w:val="26"/>
          <w:szCs w:val="26"/>
        </w:rPr>
        <w:t xml:space="preserve">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4"/>
              <w:bottom w:val="single" w:color="C9A84C" w:sz="2"/>
              <w:right w:val="single" w:color="C9A84C" w:sz="2"/>
            </w:tcBorders>
            <w:shd w:fill="F0F4FA" w:val="clear"/>
            <w:tcMar>
              <w:top w:type="dxa" w:w="160"/>
              <w:left w:type="dxa" w:w="240"/>
              <w:bottom w:type="dxa" w:w="160"/>
              <w:right w:type="dxa" w:w="240"/>
            </w:tcMar>
          </w:tcPr>
          <w:p>
            <w:pPr>
              <w:spacing w:after="60" w:before="0"/>
            </w:pPr>
            <w:r>
              <w:rPr>
                <w:rFonts w:ascii="Arial" w:cs="Arial" w:eastAsia="Arial" w:hAnsi="Arial"/>
                <w:b/>
                <w:bCs/>
                <w:color w:val="C9A84C"/>
                <w:sz w:val="21"/>
                <w:szCs w:val="21"/>
              </w:rPr>
              <w:t xml:space="preserve">TAGLINE</w:t>
            </w:r>
          </w:p>
          <w:p>
            <w:pPr>
              <w:spacing w:after="0" w:before="0"/>
            </w:pPr>
            <w:r>
              <w:rPr>
                <w:rFonts w:ascii="Arial" w:cs="Arial" w:eastAsia="Arial" w:hAnsi="Arial"/>
                <w:color w:val="4A5568"/>
                <w:sz w:val="21"/>
                <w:szCs w:val="21"/>
              </w:rPr>
              <w:t xml:space="preserve">Stop being a victim. Start getting paid. The only toolkit you need to fight back against illegal robocallers — no attorney required.</w:t>
            </w:r>
          </w:p>
        </w:tc>
      </w:tr>
    </w:tbl>
    <w:p>
      <w:pPr>
        <w:spacing w:after="0" w:before="100"/>
      </w:pPr>
    </w:p>
    <w:p>
      <w:pPr>
        <w:spacing w:after="80" w:before="240"/>
      </w:pPr>
      <w:r>
        <w:rPr>
          <w:rFonts w:ascii="Arial" w:cs="Arial" w:eastAsia="Arial" w:hAnsi="Arial"/>
          <w:b/>
          <w:bCs/>
          <w:color w:val="1B3A6B"/>
          <w:sz w:val="26"/>
          <w:szCs w:val="26"/>
        </w:rPr>
        <w:t xml:space="preserve">Full Gumroad Listing Description</w:t>
      </w:r>
    </w:p>
    <w:p>
      <w:pPr>
        <w:spacing w:after="0" w:before="100"/>
      </w:pPr>
    </w:p>
    <w:p>
      <w:pPr>
        <w:spacing w:after="80" w:before="80"/>
      </w:pPr>
      <w:r>
        <w:rPr>
          <w:rFonts w:ascii="Arial" w:cs="Arial" w:eastAsia="Arial" w:hAnsi="Arial"/>
          <w:b/>
          <w:bCs/>
          <w:color w:val="4A5568"/>
          <w:sz w:val="22"/>
          <w:szCs w:val="22"/>
        </w:rPr>
        <w:t xml:space="preserve">--- BEGIN GUMROAD LISTING COPY (copy exactly as written below) ---</w:t>
      </w:r>
    </w:p>
    <w:p>
      <w:pPr>
        <w:spacing w:after="0" w:before="100"/>
      </w:pPr>
    </w:p>
    <w:p>
      <w:pPr>
        <w:spacing w:after="80" w:before="80"/>
      </w:pPr>
      <w:r>
        <w:rPr>
          <w:rFonts w:ascii="Arial" w:cs="Arial" w:eastAsia="Arial" w:hAnsi="Arial"/>
          <w:color w:val="4A5568"/>
          <w:sz w:val="22"/>
          <w:szCs w:val="22"/>
        </w:rPr>
        <w:t xml:space="preserve">Are you on the National Do Not Call Registry and still getting hammered with robocalls every day?</w:t>
      </w:r>
    </w:p>
    <w:p>
      <w:pPr>
        <w:spacing w:after="0" w:before="100"/>
      </w:pPr>
    </w:p>
    <w:p>
      <w:pPr>
        <w:spacing w:after="80" w:before="80"/>
      </w:pPr>
      <w:r>
        <w:rPr>
          <w:rFonts w:ascii="Arial" w:cs="Arial" w:eastAsia="Arial" w:hAnsi="Arial"/>
          <w:color w:val="4A5568"/>
          <w:sz w:val="22"/>
          <w:szCs w:val="22"/>
        </w:rPr>
        <w:t xml:space="preserve">Here's what most people don't know: those calls may be worth $500 to $1,500 each. Every single one.</w:t>
      </w:r>
    </w:p>
    <w:p>
      <w:pPr>
        <w:spacing w:after="0" w:before="100"/>
      </w:pPr>
    </w:p>
    <w:p>
      <w:pPr>
        <w:spacing w:after="80" w:before="80"/>
      </w:pPr>
      <w:r>
        <w:rPr>
          <w:rFonts w:ascii="Arial" w:cs="Arial" w:eastAsia="Arial" w:hAnsi="Arial"/>
          <w:color w:val="4A5568"/>
          <w:sz w:val="22"/>
          <w:szCs w:val="22"/>
        </w:rPr>
        <w:t xml:space="preserve">The Telephone Consumer Protection Act (TCPA) — a federal law — gives you the private right to sue companies that call you illegally. You don't need an attorney. You don't need a law degree. You just need the right tools and the right documentation.</w:t>
      </w:r>
    </w:p>
    <w:p>
      <w:pPr>
        <w:spacing w:after="0" w:before="100"/>
      </w:pPr>
    </w:p>
    <w:p>
      <w:pPr>
        <w:spacing w:after="80" w:before="80"/>
      </w:pPr>
      <w:r>
        <w:rPr>
          <w:rFonts w:ascii="Arial" w:cs="Arial" w:eastAsia="Arial" w:hAnsi="Arial"/>
          <w:color w:val="4A5568"/>
          <w:sz w:val="22"/>
          <w:szCs w:val="22"/>
        </w:rPr>
        <w:t xml:space="preserve">That's exactly what the BVP RoboStop Toolkit is.</w:t>
      </w:r>
    </w:p>
    <w:p>
      <w:pPr>
        <w:spacing w:after="0" w:before="100"/>
      </w:pPr>
    </w:p>
    <w:p>
      <w:pPr>
        <w:spacing w:after="80" w:before="80"/>
      </w:pPr>
      <w:r>
        <w:rPr>
          <w:rFonts w:ascii="Arial" w:cs="Arial" w:eastAsia="Arial" w:hAnsi="Arial"/>
          <w:b/>
          <w:bCs/>
          <w:color w:val="0A1628"/>
          <w:sz w:val="22"/>
          <w:szCs w:val="22"/>
        </w:rPr>
        <w:t xml:space="preserve">WHAT'S INSIDE THIS TOOLKIT</w:t>
      </w:r>
    </w:p>
    <w:p>
      <w:pPr>
        <w:spacing w:after="0" w:before="100"/>
      </w:pPr>
    </w:p>
    <w:p>
      <w:pPr>
        <w:spacing w:after="80" w:before="80"/>
      </w:pPr>
      <w:r>
        <w:rPr>
          <w:rFonts w:ascii="Arial" w:cs="Arial" w:eastAsia="Arial" w:hAnsi="Arial"/>
          <w:b/>
          <w:bCs/>
          <w:color w:val="4A5568"/>
          <w:sz w:val="22"/>
          <w:szCs w:val="22"/>
        </w:rPr>
        <w:t xml:space="preserve">ITEM 1 — TCPA Demand Letter Template (Word + PDF)</w:t>
      </w:r>
    </w:p>
    <w:p>
      <w:pPr>
        <w:spacing w:after="80" w:before="80"/>
      </w:pPr>
      <w:r>
        <w:rPr>
          <w:rFonts w:ascii="Arial" w:cs="Arial" w:eastAsia="Arial" w:hAnsi="Arial"/>
          <w:color w:val="4A5568"/>
          <w:sz w:val="22"/>
          <w:szCs w:val="22"/>
        </w:rPr>
        <w:t xml:space="preserve">A professionally written, attorney-quality demand letter template. Fill in your name, the dates, the company, and the amount. Send it. Done. Pre-loaded with all correct TCPA legal citations, a 14-day response deadline, and a lawsuit threat clause that companies take seriously.</w:t>
      </w:r>
    </w:p>
    <w:p>
      <w:pPr>
        <w:spacing w:after="0" w:before="100"/>
      </w:pPr>
    </w:p>
    <w:p>
      <w:pPr>
        <w:spacing w:after="80" w:before="80"/>
      </w:pPr>
      <w:r>
        <w:rPr>
          <w:rFonts w:ascii="Arial" w:cs="Arial" w:eastAsia="Arial" w:hAnsi="Arial"/>
          <w:b/>
          <w:bCs/>
          <w:color w:val="4A5568"/>
          <w:sz w:val="22"/>
          <w:szCs w:val="22"/>
        </w:rPr>
        <w:t xml:space="preserve">ITEM 2 — Call Documentation Log (Excel + PDF)</w:t>
      </w:r>
    </w:p>
    <w:p>
      <w:pPr>
        <w:spacing w:after="80" w:before="80"/>
      </w:pPr>
      <w:r>
        <w:rPr>
          <w:rFonts w:ascii="Arial" w:cs="Arial" w:eastAsia="Arial" w:hAnsi="Arial"/>
          <w:color w:val="4A5568"/>
          <w:sz w:val="22"/>
          <w:szCs w:val="22"/>
        </w:rPr>
        <w:t xml:space="preserve">A structured log to document every single call — date, time, caller ID, call type, notes, and evidence tracking. Includes an auto-calculating summary tab that computes your total claim value at $500 per call and $1,500 per willful violation.</w:t>
      </w:r>
    </w:p>
    <w:p>
      <w:pPr>
        <w:spacing w:after="0" w:before="100"/>
      </w:pPr>
    </w:p>
    <w:p>
      <w:pPr>
        <w:spacing w:after="80" w:before="80"/>
      </w:pPr>
      <w:r>
        <w:rPr>
          <w:rFonts w:ascii="Arial" w:cs="Arial" w:eastAsia="Arial" w:hAnsi="Arial"/>
          <w:b/>
          <w:bCs/>
          <w:color w:val="4A5568"/>
          <w:sz w:val="22"/>
          <w:szCs w:val="22"/>
        </w:rPr>
        <w:t xml:space="preserve">ITEM 3 — 18-Point Evidence Checklist (PDF)</w:t>
      </w:r>
    </w:p>
    <w:p>
      <w:pPr>
        <w:spacing w:after="80" w:before="80"/>
      </w:pPr>
      <w:r>
        <w:rPr>
          <w:rFonts w:ascii="Arial" w:cs="Arial" w:eastAsia="Arial" w:hAnsi="Arial"/>
          <w:color w:val="4A5568"/>
          <w:sz w:val="22"/>
          <w:szCs w:val="22"/>
        </w:rPr>
        <w:t xml:space="preserve">Know exactly what to collect, where to find it, and how to preserve it. From voicemail recordings to DNC registry screenshots to carrier records requests — walk into any court or attorney meeting with an airtight file.</w:t>
      </w:r>
    </w:p>
    <w:p>
      <w:pPr>
        <w:spacing w:after="0" w:before="100"/>
      </w:pPr>
    </w:p>
    <w:p>
      <w:pPr>
        <w:spacing w:after="80" w:before="80"/>
      </w:pPr>
      <w:r>
        <w:rPr>
          <w:rFonts w:ascii="Arial" w:cs="Arial" w:eastAsia="Arial" w:hAnsi="Arial"/>
          <w:b/>
          <w:bCs/>
          <w:color w:val="4A5568"/>
          <w:sz w:val="22"/>
          <w:szCs w:val="22"/>
        </w:rPr>
        <w:t xml:space="preserve">ITEM 4 — Registered Agent Lookup Guide — All 50 States (PDF)</w:t>
      </w:r>
    </w:p>
    <w:p>
      <w:pPr>
        <w:spacing w:after="80" w:before="80"/>
      </w:pPr>
      <w:r>
        <w:rPr>
          <w:rFonts w:ascii="Arial" w:cs="Arial" w:eastAsia="Arial" w:hAnsi="Arial"/>
          <w:color w:val="4A5568"/>
          <w:sz w:val="22"/>
          <w:szCs w:val="22"/>
        </w:rPr>
        <w:t xml:space="preserve">This is the piece that changes everything. Before you can send a legal letter, you need the correct service address — the registered agent. This guide gives you the Secretary of State database link for every state, step-by-step lookup instructions, and guidance for when a number was spoofed.</w:t>
      </w:r>
    </w:p>
    <w:p>
      <w:pPr>
        <w:spacing w:after="0" w:before="100"/>
      </w:pPr>
    </w:p>
    <w:p>
      <w:pPr>
        <w:spacing w:after="80" w:before="80"/>
      </w:pPr>
      <w:r>
        <w:rPr>
          <w:rFonts w:ascii="Arial" w:cs="Arial" w:eastAsia="Arial" w:hAnsi="Arial"/>
          <w:b/>
          <w:bCs/>
          <w:color w:val="4A5568"/>
          <w:sz w:val="22"/>
          <w:szCs w:val="22"/>
        </w:rPr>
        <w:t xml:space="preserve">ITEM 5 — TCPA Rights &amp; Violations Reference Guide (PDF)</w:t>
      </w:r>
    </w:p>
    <w:p>
      <w:pPr>
        <w:spacing w:after="80" w:before="80"/>
      </w:pPr>
      <w:r>
        <w:rPr>
          <w:rFonts w:ascii="Arial" w:cs="Arial" w:eastAsia="Arial" w:hAnsi="Arial"/>
          <w:color w:val="4A5568"/>
          <w:sz w:val="22"/>
          <w:szCs w:val="22"/>
        </w:rPr>
        <w:t xml:space="preserve">Understand exactly what is and is not a violation. What the Facebook v. Duguid ruling changed. How the TRACED Act expanded penalties. What state laws add on top. When to self-represent and when to call a TCPA attorney. Everything in plain English.</w:t>
      </w:r>
    </w:p>
    <w:p>
      <w:pPr>
        <w:spacing w:after="0" w:before="100"/>
      </w:pPr>
    </w:p>
    <w:p>
      <w:pPr>
        <w:spacing w:after="80" w:before="80"/>
      </w:pPr>
      <w:r>
        <w:rPr>
          <w:rFonts w:ascii="Arial" w:cs="Arial" w:eastAsia="Arial" w:hAnsi="Arial"/>
          <w:b/>
          <w:bCs/>
          <w:color w:val="4A5568"/>
          <w:sz w:val="22"/>
          <w:szCs w:val="22"/>
        </w:rPr>
        <w:t xml:space="preserve">ITEM 6 — FTC &amp; FCC Complaint Filing Guide (PDF)</w:t>
      </w:r>
    </w:p>
    <w:p>
      <w:pPr>
        <w:spacing w:after="80" w:before="80"/>
      </w:pPr>
      <w:r>
        <w:rPr>
          <w:rFonts w:ascii="Arial" w:cs="Arial" w:eastAsia="Arial" w:hAnsi="Arial"/>
          <w:color w:val="4A5568"/>
          <w:sz w:val="22"/>
          <w:szCs w:val="22"/>
        </w:rPr>
        <w:t xml:space="preserve">Filing an official government complaint creates a paper trail that strengthens your civil case. This guide walks you through both the FTC and FCC complaint processes step-by-step, including how to reference your complaint number in your demand letter.</w:t>
      </w:r>
    </w:p>
    <w:p>
      <w:pPr>
        <w:spacing w:after="0" w:before="100"/>
      </w:pPr>
    </w:p>
    <w:p>
      <w:pPr>
        <w:spacing w:after="80" w:before="80"/>
      </w:pPr>
      <w:r>
        <w:rPr>
          <w:rFonts w:ascii="Arial" w:cs="Arial" w:eastAsia="Arial" w:hAnsi="Arial"/>
          <w:b/>
          <w:bCs/>
          <w:color w:val="0A1628"/>
          <w:sz w:val="22"/>
          <w:szCs w:val="22"/>
        </w:rPr>
        <w:t xml:space="preserve">WHO THIS IS FOR</w:t>
      </w:r>
    </w:p>
    <w:p>
      <w:pPr>
        <w:pStyle w:val="ListParagraph"/>
        <w:numPr>
          <w:ilvl w:val="0"/>
          <w:numId w:val="2"/>
        </w:numPr>
        <w:spacing w:after="60" w:before="60"/>
      </w:pPr>
      <w:r>
        <w:rPr>
          <w:rFonts w:ascii="Arial" w:cs="Arial" w:eastAsia="Arial" w:hAnsi="Arial"/>
          <w:color w:val="4A5568"/>
          <w:sz w:val="22"/>
          <w:szCs w:val="22"/>
        </w:rPr>
        <w:t xml:space="preserve">You're on the DNC Registry and still getting calls</w:t>
      </w:r>
    </w:p>
    <w:p>
      <w:pPr>
        <w:pStyle w:val="ListParagraph"/>
        <w:numPr>
          <w:ilvl w:val="0"/>
          <w:numId w:val="2"/>
        </w:numPr>
        <w:spacing w:after="60" w:before="60"/>
      </w:pPr>
      <w:r>
        <w:rPr>
          <w:rFonts w:ascii="Arial" w:cs="Arial" w:eastAsia="Arial" w:hAnsi="Arial"/>
          <w:color w:val="4A5568"/>
          <w:sz w:val="22"/>
          <w:szCs w:val="22"/>
        </w:rPr>
        <w:t xml:space="preserve">You've received prerecorded robocalls without giving written consent</w:t>
      </w:r>
    </w:p>
    <w:p>
      <w:pPr>
        <w:pStyle w:val="ListParagraph"/>
        <w:numPr>
          <w:ilvl w:val="0"/>
          <w:numId w:val="2"/>
        </w:numPr>
        <w:spacing w:after="60" w:before="60"/>
      </w:pPr>
      <w:r>
        <w:rPr>
          <w:rFonts w:ascii="Arial" w:cs="Arial" w:eastAsia="Arial" w:hAnsi="Arial"/>
          <w:color w:val="4A5568"/>
          <w:sz w:val="22"/>
          <w:szCs w:val="22"/>
        </w:rPr>
        <w:t xml:space="preserve">A debt collector is using an automated dialer to reach you</w:t>
      </w:r>
    </w:p>
    <w:p>
      <w:pPr>
        <w:pStyle w:val="ListParagraph"/>
        <w:numPr>
          <w:ilvl w:val="0"/>
          <w:numId w:val="2"/>
        </w:numPr>
        <w:spacing w:after="60" w:before="60"/>
      </w:pPr>
      <w:r>
        <w:rPr>
          <w:rFonts w:ascii="Arial" w:cs="Arial" w:eastAsia="Arial" w:hAnsi="Arial"/>
          <w:color w:val="4A5568"/>
          <w:sz w:val="22"/>
          <w:szCs w:val="22"/>
        </w:rPr>
        <w:t xml:space="preserve">You've told a company to stop calling and they haven't</w:t>
      </w:r>
    </w:p>
    <w:p>
      <w:pPr>
        <w:pStyle w:val="ListParagraph"/>
        <w:numPr>
          <w:ilvl w:val="0"/>
          <w:numId w:val="2"/>
        </w:numPr>
        <w:spacing w:after="60" w:before="60"/>
      </w:pPr>
      <w:r>
        <w:rPr>
          <w:rFonts w:ascii="Arial" w:cs="Arial" w:eastAsia="Arial" w:hAnsi="Arial"/>
          <w:color w:val="4A5568"/>
          <w:sz w:val="22"/>
          <w:szCs w:val="22"/>
        </w:rPr>
        <w:t xml:space="preserve">You're receiving calls outside legal hours of 8am–9pm</w:t>
      </w:r>
    </w:p>
    <w:p>
      <w:pPr>
        <w:spacing w:after="0" w:before="100"/>
      </w:pPr>
    </w:p>
    <w:p>
      <w:pPr>
        <w:spacing w:after="80" w:before="80"/>
      </w:pPr>
      <w:r>
        <w:rPr>
          <w:rFonts w:ascii="Arial" w:cs="Arial" w:eastAsia="Arial" w:hAnsi="Arial"/>
          <w:b/>
          <w:bCs/>
          <w:color w:val="0A1628"/>
          <w:sz w:val="22"/>
          <w:szCs w:val="22"/>
        </w:rPr>
        <w:t xml:space="preserve">WHO THIS IS NOT FOR</w:t>
      </w:r>
    </w:p>
    <w:p>
      <w:pPr>
        <w:pStyle w:val="ListParagraph"/>
        <w:numPr>
          <w:ilvl w:val="0"/>
          <w:numId w:val="2"/>
        </w:numPr>
        <w:spacing w:after="60" w:before="60"/>
      </w:pPr>
      <w:r>
        <w:rPr>
          <w:rFonts w:ascii="Arial" w:cs="Arial" w:eastAsia="Arial" w:hAnsi="Arial"/>
          <w:color w:val="4A5568"/>
          <w:sz w:val="22"/>
          <w:szCs w:val="22"/>
        </w:rPr>
        <w:t xml:space="preserve">Overseas scam calls with no identifiable U.S. company behind them</w:t>
      </w:r>
    </w:p>
    <w:p>
      <w:pPr>
        <w:pStyle w:val="ListParagraph"/>
        <w:numPr>
          <w:ilvl w:val="0"/>
          <w:numId w:val="2"/>
        </w:numPr>
        <w:spacing w:after="60" w:before="60"/>
      </w:pPr>
      <w:r>
        <w:rPr>
          <w:rFonts w:ascii="Arial" w:cs="Arial" w:eastAsia="Arial" w:hAnsi="Arial"/>
          <w:color w:val="4A5568"/>
          <w:sz w:val="22"/>
          <w:szCs w:val="22"/>
        </w:rPr>
        <w:t xml:space="preserve">Non-profit, political campaign, or emergency calls (exempt under TCPA)</w:t>
      </w:r>
    </w:p>
    <w:p>
      <w:pPr>
        <w:pStyle w:val="ListParagraph"/>
        <w:numPr>
          <w:ilvl w:val="0"/>
          <w:numId w:val="2"/>
        </w:numPr>
        <w:spacing w:after="60" w:before="60"/>
      </w:pPr>
      <w:r>
        <w:rPr>
          <w:rFonts w:ascii="Arial" w:cs="Arial" w:eastAsia="Arial" w:hAnsi="Arial"/>
          <w:color w:val="4A5568"/>
          <w:sz w:val="22"/>
          <w:szCs w:val="22"/>
        </w:rPr>
        <w:t xml:space="preserve">Calls you consented to in writing</w:t>
      </w:r>
    </w:p>
    <w:p>
      <w:pPr>
        <w:spacing w:after="0" w:before="100"/>
      </w:pPr>
    </w:p>
    <w:p>
      <w:pPr>
        <w:spacing w:after="80" w:before="240"/>
      </w:pPr>
      <w:r>
        <w:rPr>
          <w:rFonts w:ascii="Arial" w:cs="Arial" w:eastAsia="Arial" w:hAnsi="Arial"/>
          <w:b/>
          <w:bCs/>
          <w:color w:val="1B3A6B"/>
          <w:sz w:val="26"/>
          <w:szCs w:val="26"/>
        </w:rPr>
        <w:t xml:space="preserve">BVP RoboStop App — Coming Soon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4"/>
              <w:bottom w:val="single" w:color="C9A84C" w:sz="2"/>
              <w:right w:val="single" w:color="C9A84C" w:sz="2"/>
            </w:tcBorders>
            <w:shd w:fill="F0F4FA" w:val="clear"/>
            <w:tcMar>
              <w:top w:type="dxa" w:w="160"/>
              <w:left w:type="dxa" w:w="240"/>
              <w:bottom w:type="dxa" w:w="160"/>
              <w:right w:type="dxa" w:w="240"/>
            </w:tcMar>
          </w:tcPr>
          <w:p>
            <w:pPr>
              <w:spacing w:after="60" w:before="0"/>
            </w:pPr>
            <w:r>
              <w:rPr>
                <w:rFonts w:ascii="Arial" w:cs="Arial" w:eastAsia="Arial" w:hAnsi="Arial"/>
                <w:b/>
                <w:bCs/>
                <w:color w:val="C9A84C"/>
                <w:sz w:val="21"/>
                <w:szCs w:val="21"/>
              </w:rPr>
              <w:t xml:space="preserve">COMING SOON BLOCK — INCLUDE IN LISTING</w:t>
            </w:r>
          </w:p>
          <w:p>
            <w:pPr>
              <w:spacing w:after="0" w:before="0"/>
            </w:pPr>
            <w:r>
              <w:rPr>
                <w:rFonts w:ascii="Arial" w:cs="Arial" w:eastAsia="Arial" w:hAnsi="Arial"/>
                <w:color w:val="4A5568"/>
                <w:sz w:val="21"/>
                <w:szCs w:val="21"/>
              </w:rPr>
              <w:t xml:space="preserve">THE BVP ROBOSTOP APP — COMING SOON
We are building the most powerful robocall accountability tool ever made for consumers.
BVP RoboStop (the full app) will include:
- AI-powered caller identification
- Automated registered agent lookup
- One-click demand letter generation
- Built-in evidence vault
- Small claims court filing guidance
- TCPA attorney referral for high-value cases
Subscribe to our Gumroad page now to be the first notified when the app launches. Early subscribers will receive exclusive pre-launch pricing.</w:t>
            </w:r>
          </w:p>
        </w:tc>
      </w:tr>
    </w:tbl>
    <w:p>
      <w:pPr>
        <w:spacing w:after="0" w:before="100"/>
      </w:pPr>
    </w:p>
    <w:p>
      <w:pPr>
        <w:spacing w:after="80" w:before="240"/>
      </w:pPr>
      <w:r>
        <w:rPr>
          <w:rFonts w:ascii="Arial" w:cs="Arial" w:eastAsia="Arial" w:hAnsi="Arial"/>
          <w:b/>
          <w:bCs/>
          <w:color w:val="1B3A6B"/>
          <w:sz w:val="26"/>
          <w:szCs w:val="26"/>
        </w:rPr>
        <w:t xml:space="preserve">Gumroad Disclaimer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4"/>
              <w:bottom w:val="single" w:color="C9A84C" w:sz="2"/>
              <w:right w:val="single" w:color="C9A84C" w:sz="2"/>
            </w:tcBorders>
            <w:shd w:fill="F0F4FA" w:val="clear"/>
            <w:tcMar>
              <w:top w:type="dxa" w:w="160"/>
              <w:left w:type="dxa" w:w="240"/>
              <w:bottom w:type="dxa" w:w="160"/>
              <w:right w:type="dxa" w:w="240"/>
            </w:tcMar>
          </w:tcPr>
          <w:p>
            <w:pPr>
              <w:spacing w:after="60" w:before="0"/>
            </w:pPr>
            <w:r>
              <w:rPr>
                <w:rFonts w:ascii="Arial" w:cs="Arial" w:eastAsia="Arial" w:hAnsi="Arial"/>
                <w:b/>
                <w:bCs/>
                <w:color w:val="C9A84C"/>
                <w:sz w:val="21"/>
                <w:szCs w:val="21"/>
              </w:rPr>
              <w:t xml:space="preserve">DISCLAIMER — INCLUDE AT BOTTOM OF LISTING</w:t>
            </w:r>
          </w:p>
          <w:p>
            <w:pPr>
              <w:spacing w:after="0" w:before="0"/>
            </w:pPr>
            <w:r>
              <w:rPr>
                <w:rFonts w:ascii="Arial" w:cs="Arial" w:eastAsia="Arial" w:hAnsi="Arial"/>
                <w:color w:val="4A5568"/>
                <w:sz w:val="21"/>
                <w:szCs w:val="21"/>
              </w:rPr>
              <w:t xml:space="preserve">IMPORTANT DISCLAIMER: This toolkit is provided for educational and informational purposes only. It does not constitute legal advice and does not create an attorney-client relationship. BVP RoboStop is not a law firm. Laws vary by state and individual circumstances vary. For claims exceeding $5,000, consulting a licensed TCPA attorney is strongly recommended. Results are not guaranteed. © 2026 BVP RoboStop. All Rights Reserved.</w:t>
            </w:r>
          </w:p>
        </w:tc>
      </w:tr>
    </w:tbl>
    <w:p>
      <w:pPr>
        <w:spacing w:after="0" w:before="100"/>
      </w:pPr>
    </w:p>
    <w:p>
      <w:pPr>
        <w:spacing w:after="80" w:before="240"/>
      </w:pPr>
      <w:r>
        <w:rPr>
          <w:rFonts w:ascii="Arial" w:cs="Arial" w:eastAsia="Arial" w:hAnsi="Arial"/>
          <w:b/>
          <w:bCs/>
          <w:color w:val="1B3A6B"/>
          <w:sz w:val="26"/>
          <w:szCs w:val="26"/>
        </w:rPr>
        <w:t xml:space="preserve">Short Description (Gumroad Preview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14"/>
              <w:bottom w:val="single" w:color="C9A84C" w:sz="2"/>
              <w:right w:val="single" w:color="C9A84C" w:sz="2"/>
            </w:tcBorders>
            <w:shd w:fill="F0F4FA" w:val="clear"/>
            <w:tcMar>
              <w:top w:type="dxa" w:w="160"/>
              <w:left w:type="dxa" w:w="240"/>
              <w:bottom w:type="dxa" w:w="160"/>
              <w:right w:type="dxa" w:w="240"/>
            </w:tcMar>
          </w:tcPr>
          <w:p>
            <w:pPr>
              <w:spacing w:after="60" w:before="0"/>
            </w:pPr>
            <w:r>
              <w:rPr>
                <w:rFonts w:ascii="Arial" w:cs="Arial" w:eastAsia="Arial" w:hAnsi="Arial"/>
                <w:b/>
                <w:bCs/>
                <w:color w:val="C9A84C"/>
                <w:sz w:val="21"/>
                <w:szCs w:val="21"/>
              </w:rPr>
              <w:t xml:space="preserve">SHORT DESCRIPTION</w:t>
            </w:r>
          </w:p>
          <w:p>
            <w:pPr>
              <w:spacing w:after="0" w:before="0"/>
            </w:pPr>
            <w:r>
              <w:rPr>
                <w:rFonts w:ascii="Arial" w:cs="Arial" w:eastAsia="Arial" w:hAnsi="Arial"/>
                <w:color w:val="4A5568"/>
                <w:sz w:val="21"/>
                <w:szCs w:val="21"/>
              </w:rPr>
              <w:t xml:space="preserve">The complete consumer toolkit to fight illegal robocallers under the TCPA. Includes a professional demand letter template, 50-state registered agent lookup guide, 18-point evidence checklist, call documentation log, rights guide, and FTC/FCC complaint walkthrough. No attorney required. $500–$1,500 per illegal call is your right under federal law — here's how to claim it.</w:t>
            </w:r>
          </w:p>
        </w:tc>
      </w:tr>
    </w:tbl>
    <w:p>
      <w:pPr>
        <w:spacing w:after="0" w:before="100"/>
      </w:pPr>
    </w:p>
    <w:p>
      <w:r>
        <w:br w:type="page"/>
      </w:r>
    </w:p>
    <w:p>
      <w:pPr>
        <w:spacing w:after="120" w:before="360"/>
      </w:pPr>
      <w:r>
        <w:rPr>
          <w:rFonts w:ascii="Arial" w:cs="Arial" w:eastAsia="Arial" w:hAnsi="Arial"/>
          <w:b/>
          <w:bCs/>
          <w:color w:val="0A1628"/>
          <w:sz w:val="36"/>
          <w:szCs w:val="36"/>
        </w:rPr>
        <w:t xml:space="preserve">SECTION 4 — VS CODE BUILD PROMPT</w:t>
      </w:r>
    </w:p>
    <w:p>
      <w:pPr>
        <w:pBdr>
          <w:bottom w:val="single" w:color="C9A84C" w:sz="6" w:space="1"/>
        </w:pBdr>
        <w:spacing w:after="160" w:before="160"/>
      </w:pPr>
    </w:p>
    <w:p>
      <w:pPr>
        <w:spacing w:after="80" w:before="80"/>
      </w:pPr>
      <w:r>
        <w:rPr>
          <w:rFonts w:ascii="Arial" w:cs="Arial" w:eastAsia="Arial" w:hAnsi="Arial"/>
          <w:color w:val="4A5568"/>
          <w:sz w:val="22"/>
          <w:szCs w:val="22"/>
        </w:rPr>
        <w:t xml:space="preserve">The following prompt is engineered to be pasted into GitHub Copilot Chat, Cursor AI, or any AI coding assistant inside VS Code. It will scaffold all six digital product files from scratch in their correct formats with professional styling.</w:t>
      </w:r>
    </w:p>
    <w:p>
      <w:pPr>
        <w:spacing w:after="0" w:before="100"/>
      </w:pPr>
    </w:p>
    <w:p>
      <w:pPr>
        <w:spacing w:after="80" w:before="240"/>
      </w:pPr>
      <w:r>
        <w:rPr>
          <w:rFonts w:ascii="Arial" w:cs="Arial" w:eastAsia="Arial" w:hAnsi="Arial"/>
          <w:b/>
          <w:bCs/>
          <w:color w:val="1B3A6B"/>
          <w:sz w:val="26"/>
          <w:szCs w:val="26"/>
        </w:rPr>
        <w:t xml:space="preserve">Full VS Code / Cursor / Copilot Build Prompt</w:t>
      </w:r>
    </w:p>
    <w:p>
      <w:pPr>
        <w:spacing w:after="0" w:before="100"/>
      </w:pPr>
    </w:p>
    <w:p>
      <w:pPr>
        <w:spacing w:after="80" w:before="80"/>
      </w:pPr>
      <w:r>
        <w:rPr>
          <w:rFonts w:ascii="Arial" w:cs="Arial" w:eastAsia="Arial" w:hAnsi="Arial"/>
          <w:b/>
          <w:bCs/>
          <w:color w:val="4A5568"/>
          <w:sz w:val="22"/>
          <w:szCs w:val="22"/>
        </w:rPr>
        <w:t xml:space="preserve">--- PASTE EVERYTHING BELOW INTO YOUR AI CODING ASSISTANT ---</w:t>
      </w:r>
    </w:p>
    <w:p>
      <w:pPr>
        <w:spacing w:after="0" w:before="100"/>
      </w:pPr>
    </w:p>
    <w:p>
      <w:pPr>
        <w:spacing w:after="80" w:before="80"/>
      </w:pPr>
      <w:r>
        <w:rPr>
          <w:rFonts w:ascii="Arial" w:cs="Arial" w:eastAsia="Arial" w:hAnsi="Arial"/>
          <w:color w:val="4A5568"/>
          <w:sz w:val="22"/>
          <w:szCs w:val="22"/>
        </w:rPr>
        <w:t xml:space="preserve">You are building the BVP RoboStop Digital Product Package. This is a 6-item consumer legal toolkit for fighting illegal robocalls under the TCPA (47 U.S.C. § 227). Build all files with complete, usable content — no placeholder text.</w:t>
      </w:r>
    </w:p>
    <w:p>
      <w:pPr>
        <w:spacing w:after="0" w:before="100"/>
      </w:pPr>
    </w:p>
    <w:p>
      <w:pPr>
        <w:spacing w:after="80" w:before="80"/>
      </w:pPr>
      <w:r>
        <w:rPr>
          <w:rFonts w:ascii="Arial" w:cs="Arial" w:eastAsia="Arial" w:hAnsi="Arial"/>
          <w:b/>
          <w:bCs/>
          <w:color w:val="4A5568"/>
          <w:sz w:val="22"/>
          <w:szCs w:val="22"/>
        </w:rPr>
        <w:t xml:space="preserve">PROJECT STRUCTURE:</w:t>
      </w:r>
    </w:p>
    <w:p>
      <w:pPr>
        <w:spacing w:after="80" w:before="80"/>
      </w:pPr>
      <w:r>
        <w:rPr>
          <w:rFonts w:ascii="Arial" w:cs="Arial" w:eastAsia="Arial" w:hAnsi="Arial"/>
          <w:color w:val="4A5568"/>
          <w:sz w:val="22"/>
          <w:szCs w:val="22"/>
        </w:rPr>
        <w:t xml:space="preserve">/bvp-robostop-product/</w:t>
      </w:r>
    </w:p>
    <w:p>
      <w:pPr>
        <w:spacing w:after="80" w:before="80"/>
      </w:pPr>
      <w:r>
        <w:rPr>
          <w:rFonts w:ascii="Arial" w:cs="Arial" w:eastAsia="Arial" w:hAnsi="Arial"/>
          <w:color w:val="4A5568"/>
          <w:sz w:val="22"/>
          <w:szCs w:val="22"/>
        </w:rPr>
        <w:t xml:space="preserve">  /item-1-demand-letter/ — demand-letter-template.docx + .pdf</w:t>
      </w:r>
    </w:p>
    <w:p>
      <w:pPr>
        <w:spacing w:after="80" w:before="80"/>
      </w:pPr>
      <w:r>
        <w:rPr>
          <w:rFonts w:ascii="Arial" w:cs="Arial" w:eastAsia="Arial" w:hAnsi="Arial"/>
          <w:color w:val="4A5568"/>
          <w:sz w:val="22"/>
          <w:szCs w:val="22"/>
        </w:rPr>
        <w:t xml:space="preserve">  /item-2-call-log/ — call-documentation-log.xlsx + .pdf</w:t>
      </w:r>
    </w:p>
    <w:p>
      <w:pPr>
        <w:spacing w:after="80" w:before="80"/>
      </w:pPr>
      <w:r>
        <w:rPr>
          <w:rFonts w:ascii="Arial" w:cs="Arial" w:eastAsia="Arial" w:hAnsi="Arial"/>
          <w:color w:val="4A5568"/>
          <w:sz w:val="22"/>
          <w:szCs w:val="22"/>
        </w:rPr>
        <w:t xml:space="preserve">  /item-3-evidence-checklist/ — evidence-checklist.pdf</w:t>
      </w:r>
    </w:p>
    <w:p>
      <w:pPr>
        <w:spacing w:after="80" w:before="80"/>
      </w:pPr>
      <w:r>
        <w:rPr>
          <w:rFonts w:ascii="Arial" w:cs="Arial" w:eastAsia="Arial" w:hAnsi="Arial"/>
          <w:color w:val="4A5568"/>
          <w:sz w:val="22"/>
          <w:szCs w:val="22"/>
        </w:rPr>
        <w:t xml:space="preserve">  /item-4-registered-agent-guide/ — registered-agent-lookup-guide.pdf</w:t>
      </w:r>
    </w:p>
    <w:p>
      <w:pPr>
        <w:spacing w:after="80" w:before="80"/>
      </w:pPr>
      <w:r>
        <w:rPr>
          <w:rFonts w:ascii="Arial" w:cs="Arial" w:eastAsia="Arial" w:hAnsi="Arial"/>
          <w:color w:val="4A5568"/>
          <w:sz w:val="22"/>
          <w:szCs w:val="22"/>
        </w:rPr>
        <w:t xml:space="preserve">  /item-5-tcpa-rights-guide/ — tcpa-rights-and-violations-guide.pdf</w:t>
      </w:r>
    </w:p>
    <w:p>
      <w:pPr>
        <w:spacing w:after="80" w:before="80"/>
      </w:pPr>
      <w:r>
        <w:rPr>
          <w:rFonts w:ascii="Arial" w:cs="Arial" w:eastAsia="Arial" w:hAnsi="Arial"/>
          <w:color w:val="4A5568"/>
          <w:sz w:val="22"/>
          <w:szCs w:val="22"/>
        </w:rPr>
        <w:t xml:space="preserve">  /item-6-complaint-guide/ — ftc-fcc-complaint-filing-guide.pdf</w:t>
      </w:r>
    </w:p>
    <w:p>
      <w:pPr>
        <w:spacing w:after="80" w:before="80"/>
      </w:pPr>
      <w:r>
        <w:rPr>
          <w:rFonts w:ascii="Arial" w:cs="Arial" w:eastAsia="Arial" w:hAnsi="Arial"/>
          <w:color w:val="4A5568"/>
          <w:sz w:val="22"/>
          <w:szCs w:val="22"/>
        </w:rPr>
        <w:t xml:space="preserve">  build.js — root build script</w:t>
      </w:r>
    </w:p>
    <w:p>
      <w:pPr>
        <w:spacing w:after="0" w:before="100"/>
      </w:pPr>
    </w:p>
    <w:p>
      <w:pPr>
        <w:spacing w:after="80" w:before="80"/>
      </w:pPr>
      <w:r>
        <w:rPr>
          <w:rFonts w:ascii="Arial" w:cs="Arial" w:eastAsia="Arial" w:hAnsi="Arial"/>
          <w:b/>
          <w:bCs/>
          <w:color w:val="4A5568"/>
          <w:sz w:val="22"/>
          <w:szCs w:val="22"/>
        </w:rPr>
        <w:t xml:space="preserve">DESIGN SYSTEM (apply to all documents):</w:t>
      </w:r>
    </w:p>
    <w:p>
      <w:pPr>
        <w:spacing w:after="80" w:before="80"/>
      </w:pPr>
      <w:r>
        <w:rPr>
          <w:rFonts w:ascii="Arial" w:cs="Arial" w:eastAsia="Arial" w:hAnsi="Arial"/>
          <w:color w:val="4A5568"/>
          <w:sz w:val="22"/>
          <w:szCs w:val="22"/>
        </w:rPr>
        <w:t xml:space="preserve">Primary Navy: #0A1628 | Steel Blue: #1B3A6B | Gold Accent: #C9A84C | Body Slate: #4A5568 | Light BG: #F0F4FA | Font: Arial | Paper: US Letter 8.5x11 inches | Margins: 1 inch all sides</w:t>
      </w:r>
    </w:p>
    <w:p>
      <w:pPr>
        <w:spacing w:after="0" w:before="100"/>
      </w:pPr>
    </w:p>
    <w:p>
      <w:pPr>
        <w:spacing w:after="80" w:before="80"/>
      </w:pPr>
      <w:r>
        <w:rPr>
          <w:rFonts w:ascii="Arial" w:cs="Arial" w:eastAsia="Arial" w:hAnsi="Arial"/>
          <w:b/>
          <w:bCs/>
          <w:color w:val="4A5568"/>
          <w:sz w:val="22"/>
          <w:szCs w:val="22"/>
        </w:rPr>
        <w:t xml:space="preserve">ITEM 1 — DEMAND LETTER (.docx via npm docx):</w:t>
      </w:r>
    </w:p>
    <w:p>
      <w:pPr>
        <w:spacing w:after="80" w:before="80"/>
      </w:pPr>
      <w:r>
        <w:rPr>
          <w:rFonts w:ascii="Arial" w:cs="Arial" w:eastAsia="Arial" w:hAnsi="Arial"/>
          <w:color w:val="4A5568"/>
          <w:sz w:val="22"/>
          <w:szCs w:val="22"/>
        </w:rPr>
        <w:t xml:space="preserve">Professional legal letter format. Sections: letterhead area (user fills name/address), date field, recipient block with registered agent lookup instructions embedded as Word comments, numbered statement of facts paragraph blocks (minimum 5 fill fields highlighted in yellow), pre-populated legal citations (47 U.S.C. 227(b)(3), 47 U.S.C. 227(c)(5), 16 C.F.R. 64.1200), violation calculator table (call count field, $500 min row, $1500 max row), pre-written settlement demand paragraph with blank for total amount, 14-day response deadline clause with lawsuit threat sentence, signature block, exhibit reference line. Include Navy/Gold header with BVP RoboStop branding. Disclaimer and copyright in footer on every page. Export also as PDF.</w:t>
      </w:r>
    </w:p>
    <w:p>
      <w:pPr>
        <w:spacing w:after="0" w:before="100"/>
      </w:pPr>
    </w:p>
    <w:p>
      <w:pPr>
        <w:spacing w:after="80" w:before="80"/>
      </w:pPr>
      <w:r>
        <w:rPr>
          <w:rFonts w:ascii="Arial" w:cs="Arial" w:eastAsia="Arial" w:hAnsi="Arial"/>
          <w:b/>
          <w:bCs/>
          <w:color w:val="4A5568"/>
          <w:sz w:val="22"/>
          <w:szCs w:val="22"/>
        </w:rPr>
        <w:t xml:space="preserve">ITEM 2 — CALL LOG (.xlsx via npm exceljs):</w:t>
      </w:r>
    </w:p>
    <w:p>
      <w:pPr>
        <w:spacing w:after="80" w:before="80"/>
      </w:pPr>
      <w:r>
        <w:rPr>
          <w:rFonts w:ascii="Arial" w:cs="Arial" w:eastAsia="Arial" w:hAnsi="Arial"/>
          <w:color w:val="4A5568"/>
          <w:sz w:val="22"/>
          <w:szCs w:val="22"/>
        </w:rPr>
        <w:t xml:space="preserve">Sheet 1 name: Call Log. Columns: Entry# (auto-numbered), Date (MM/DD/YYYY), Time (12hr AM/PM), Caller Number, Caller ID Name, Call Type (dropdown: Prerecorded/Live Agent/Abandoned/Voicemail/Text), Duration (seconds), Voicemail Left (dropdown: Yes/No), Notes, Evidence Saved (dropdown: Yes/No). Header row: Navy fill, white bold text. Alternating row shading with LIGHT color. Freeze top row. Column widths optimized. Sheet 2 name: Summary. Auto-calculates from Sheet 1: Total Calls (COUNTA), Minimum Claim ($500 per call, formatted as currency), Maximum Willful Claim ($1500 per call, formatted as currency). Summary formatted with Navy/Gold headers. Print area set. Include BVP branding in header.</w:t>
      </w:r>
    </w:p>
    <w:p>
      <w:pPr>
        <w:spacing w:after="0" w:before="100"/>
      </w:pPr>
    </w:p>
    <w:p>
      <w:pPr>
        <w:spacing w:after="80" w:before="80"/>
      </w:pPr>
      <w:r>
        <w:rPr>
          <w:rFonts w:ascii="Arial" w:cs="Arial" w:eastAsia="Arial" w:hAnsi="Arial"/>
          <w:b/>
          <w:bCs/>
          <w:color w:val="4A5568"/>
          <w:sz w:val="22"/>
          <w:szCs w:val="22"/>
        </w:rPr>
        <w:t xml:space="preserve">ITEMS 3-6 — PDFs (via npm pdfkit):</w:t>
      </w:r>
    </w:p>
    <w:p>
      <w:pPr>
        <w:spacing w:after="80" w:before="80"/>
      </w:pPr>
      <w:r>
        <w:rPr>
          <w:rFonts w:ascii="Arial" w:cs="Arial" w:eastAsia="Arial" w:hAnsi="Arial"/>
          <w:color w:val="4A5568"/>
          <w:sz w:val="22"/>
          <w:szCs w:val="22"/>
        </w:rPr>
        <w:t xml:space="preserve">Every PDF: Navy header bar at top with white BVP RoboStop title and document name. Gold accent lines. Arial font. Professional margins (1 inch). Footer on every page: 'BVP RoboStop | © 2026 All Rights Reserved | For Informational Purposes Only — Not Legal Advice' with page numbers.</w:t>
      </w:r>
    </w:p>
    <w:p>
      <w:pPr>
        <w:spacing w:after="0" w:before="100"/>
      </w:pPr>
    </w:p>
    <w:p>
      <w:pPr>
        <w:spacing w:after="80" w:before="80"/>
      </w:pPr>
      <w:r>
        <w:rPr>
          <w:rFonts w:ascii="Arial" w:cs="Arial" w:eastAsia="Arial" w:hAnsi="Arial"/>
          <w:color w:val="4A5568"/>
          <w:sz w:val="22"/>
          <w:szCs w:val="22"/>
        </w:rPr>
        <w:t xml:space="preserve">Item 3 — Evidence Checklist: 18 items with printable checkbox squares grouped into 5 sections: (1) Call Records — 4 items, (2) Voicemail &amp; Recordings — 4 items, (3) Identity Research — 4 items, (4) Prior Communications — 3 items, (5) Government Complaints — 3 items. Each item has checkbox, bold item title, and 1-sentence instruction beneath it.</w:t>
      </w:r>
    </w:p>
    <w:p>
      <w:pPr>
        <w:spacing w:after="0" w:before="100"/>
      </w:pPr>
    </w:p>
    <w:p>
      <w:pPr>
        <w:spacing w:after="80" w:before="80"/>
      </w:pPr>
      <w:r>
        <w:rPr>
          <w:rFonts w:ascii="Arial" w:cs="Arial" w:eastAsia="Arial" w:hAnsi="Arial"/>
          <w:color w:val="4A5568"/>
          <w:sz w:val="22"/>
          <w:szCs w:val="22"/>
        </w:rPr>
        <w:t xml:space="preserve">Item 4 — Registered Agent Guide: Header explaining why registered agent is the correct legal service address. Step-by-step general lookup instructions (5 steps). 50-state table with columns: State | Secretary of State Entity Search URL | Notes. Spoofed number warning section. Screenshot and evidence preservation instructions.</w:t>
      </w:r>
    </w:p>
    <w:p>
      <w:pPr>
        <w:spacing w:after="0" w:before="100"/>
      </w:pPr>
    </w:p>
    <w:p>
      <w:pPr>
        <w:spacing w:after="80" w:before="80"/>
      </w:pPr>
      <w:r>
        <w:rPr>
          <w:rFonts w:ascii="Arial" w:cs="Arial" w:eastAsia="Arial" w:hAnsi="Arial"/>
          <w:color w:val="4A5568"/>
          <w:sz w:val="22"/>
          <w:szCs w:val="22"/>
        </w:rPr>
        <w:t xml:space="preserve">Item 5 — TCPA Rights Guide: 10 sections as described. Each section has bold titled header, body text in plain English, and call-out boxes for key dollar amounts and statutes. Include $500/$1500 damage amounts prominently. Include statute of limitations urgency box.</w:t>
      </w:r>
    </w:p>
    <w:p>
      <w:pPr>
        <w:spacing w:after="0" w:before="100"/>
      </w:pPr>
    </w:p>
    <w:p>
      <w:pPr>
        <w:spacing w:after="80" w:before="80"/>
      </w:pPr>
      <w:r>
        <w:rPr>
          <w:rFonts w:ascii="Arial" w:cs="Arial" w:eastAsia="Arial" w:hAnsi="Arial"/>
          <w:color w:val="4A5568"/>
          <w:sz w:val="22"/>
          <w:szCs w:val="22"/>
        </w:rPr>
        <w:t xml:space="preserve">Item 6 — Complaint Guide: FTC section (ReportFraud.ftc.gov walkthrough — 7 steps), FCC section (consumercomplaints.fcc.gov walkthrough — 6 steps), State AG lookup instructions, copy-paste sentence for demand letter referencing complaint number.</w:t>
      </w:r>
    </w:p>
    <w:p>
      <w:pPr>
        <w:spacing w:after="0" w:before="100"/>
      </w:pPr>
    </w:p>
    <w:p>
      <w:pPr>
        <w:spacing w:after="80" w:before="80"/>
      </w:pPr>
      <w:r>
        <w:rPr>
          <w:rFonts w:ascii="Arial" w:cs="Arial" w:eastAsia="Arial" w:hAnsi="Arial"/>
          <w:color w:val="4A5568"/>
          <w:sz w:val="22"/>
          <w:szCs w:val="22"/>
        </w:rPr>
        <w:t xml:space="preserve">ROOT BUILD SCRIPT (build.js): Runs all 6 generators in sequence. Logs success/failure for each file. Final log outputs complete file list with sizes. Include package.json with all dependencies: docx, exceljs, pdfkit.</w:t>
      </w:r>
    </w:p>
    <w:p>
      <w:pPr>
        <w:spacing w:after="0" w:before="100"/>
      </w:pPr>
    </w:p>
    <w:p>
      <w:pPr>
        <w:spacing w:after="80" w:before="80"/>
      </w:pPr>
      <w:r>
        <w:rPr>
          <w:rFonts w:ascii="Arial" w:cs="Arial" w:eastAsia="Arial" w:hAnsi="Arial"/>
          <w:color w:val="4A5568"/>
          <w:sz w:val="22"/>
          <w:szCs w:val="22"/>
        </w:rPr>
        <w:t xml:space="preserve">DISCLAIMER (embed in all 6 items): 'This material is provided for educational and informational purposes only and does not constitute legal advice. BVP RoboStop is not a law firm. No attorney-client relationship is created by use of these materials. Laws vary by jurisdiction. Consult a licensed attorney for advice specific to your situation. © 2026 BVP RoboStop. All Rights Reserved.'</w:t>
      </w:r>
    </w:p>
    <w:p>
      <w:pPr>
        <w:spacing w:after="0" w:before="100"/>
      </w:pPr>
    </w:p>
    <w:p>
      <w:pPr>
        <w:spacing w:after="80" w:before="80"/>
      </w:pPr>
      <w:r>
        <w:rPr>
          <w:rFonts w:ascii="Arial" w:cs="Arial" w:eastAsia="Arial" w:hAnsi="Arial"/>
          <w:color w:val="4A5568"/>
          <w:sz w:val="22"/>
          <w:szCs w:val="22"/>
        </w:rPr>
        <w:t xml:space="preserve">Build everything with complete content. Run node build.js to generate all files. Verify each file opens correctly.</w:t>
      </w:r>
    </w:p>
    <w:p>
      <w:pPr>
        <w:spacing w:after="0" w:before="100"/>
      </w:pPr>
    </w:p>
    <w:p>
      <w:pPr>
        <w:spacing w:after="80" w:before="80"/>
      </w:pPr>
      <w:r>
        <w:rPr>
          <w:rFonts w:ascii="Arial" w:cs="Arial" w:eastAsia="Arial" w:hAnsi="Arial"/>
          <w:b/>
          <w:bCs/>
          <w:color w:val="4A5568"/>
          <w:sz w:val="22"/>
          <w:szCs w:val="22"/>
        </w:rPr>
        <w:t xml:space="preserve">--- END OF PROMPT ---</w:t>
      </w:r>
    </w:p>
    <w:p>
      <w:pPr>
        <w:spacing w:after="0" w:before="100"/>
      </w:pPr>
    </w:p>
    <w:p>
      <w:r>
        <w:br w:type="page"/>
      </w:r>
    </w:p>
    <w:p>
      <w:pPr>
        <w:spacing w:after="120" w:before="360"/>
      </w:pPr>
      <w:r>
        <w:rPr>
          <w:rFonts w:ascii="Arial" w:cs="Arial" w:eastAsia="Arial" w:hAnsi="Arial"/>
          <w:b/>
          <w:bCs/>
          <w:color w:val="0A1628"/>
          <w:sz w:val="36"/>
          <w:szCs w:val="36"/>
        </w:rPr>
        <w:t xml:space="preserve">SECTION 5 — DISCLAIMERS &amp; COPYRIGHT</w:t>
      </w:r>
    </w:p>
    <w:p>
      <w:pPr>
        <w:pBdr>
          <w:bottom w:val="single" w:color="C9A84C" w:sz="6" w:space="1"/>
        </w:pBdr>
        <w:spacing w:after="160" w:before="160"/>
      </w:pPr>
    </w:p>
    <w:p>
      <w:pPr>
        <w:spacing w:after="80" w:before="240"/>
      </w:pPr>
      <w:r>
        <w:rPr>
          <w:rFonts w:ascii="Arial" w:cs="Arial" w:eastAsia="Arial" w:hAnsi="Arial"/>
          <w:b/>
          <w:bCs/>
          <w:color w:val="1B3A6B"/>
          <w:sz w:val="26"/>
          <w:szCs w:val="26"/>
        </w:rPr>
        <w:t xml:space="preserve">Full Legal Disclaimer</w:t>
      </w:r>
    </w:p>
    <w:p>
      <w:pPr>
        <w:spacing w:after="80" w:before="80"/>
      </w:pPr>
      <w:r>
        <w:rPr>
          <w:rFonts w:ascii="Arial" w:cs="Arial" w:eastAsia="Arial" w:hAnsi="Arial"/>
          <w:color w:val="4A5568"/>
          <w:sz w:val="22"/>
          <w:szCs w:val="22"/>
        </w:rPr>
        <w:t xml:space="preserve">The BVP RoboStop Digital Product Package and all materials contained therein are provided for educational and informational purposes only. Nothing in this package constitutes legal advice, and no attorney-client relationship is created or implied by the purchase or use of these materials.</w:t>
      </w:r>
    </w:p>
    <w:p>
      <w:pPr>
        <w:spacing w:after="0" w:before="100"/>
      </w:pPr>
    </w:p>
    <w:p>
      <w:pPr>
        <w:spacing w:after="80" w:before="80"/>
      </w:pPr>
      <w:r>
        <w:rPr>
          <w:rFonts w:ascii="Arial" w:cs="Arial" w:eastAsia="Arial" w:hAnsi="Arial"/>
          <w:color w:val="4A5568"/>
          <w:sz w:val="22"/>
          <w:szCs w:val="22"/>
        </w:rPr>
        <w:t xml:space="preserve">BVP RoboStop is not a law firm and is not engaged in the practice of law. The demand letter template, guides, checklists, and reference materials provided in this package are general-purpose templates and educational resources. They are not tailored to the specific facts of any individual's legal situation.</w:t>
      </w:r>
    </w:p>
    <w:p>
      <w:pPr>
        <w:spacing w:after="0" w:before="100"/>
      </w:pPr>
    </w:p>
    <w:p>
      <w:pPr>
        <w:spacing w:after="80" w:before="80"/>
      </w:pPr>
      <w:r>
        <w:rPr>
          <w:rFonts w:ascii="Arial" w:cs="Arial" w:eastAsia="Arial" w:hAnsi="Arial"/>
          <w:color w:val="4A5568"/>
          <w:sz w:val="22"/>
          <w:szCs w:val="22"/>
        </w:rPr>
        <w:t xml:space="preserve">The Telephone Consumer Protection Act (TCPA), the Telemarketing Sales Rule (TSR), and related state and federal statutes are subject to ongoing judicial interpretation, regulatory rulemaking, and legislative amendment. The materials in this package reflect the state of the law as understood as of April 2026 and may not reflect subsequent changes.</w:t>
      </w:r>
    </w:p>
    <w:p>
      <w:pPr>
        <w:spacing w:after="0" w:before="100"/>
      </w:pPr>
    </w:p>
    <w:p>
      <w:pPr>
        <w:spacing w:after="80" w:before="80"/>
      </w:pPr>
      <w:r>
        <w:rPr>
          <w:rFonts w:ascii="Arial" w:cs="Arial" w:eastAsia="Arial" w:hAnsi="Arial"/>
          <w:color w:val="4A5568"/>
          <w:sz w:val="22"/>
          <w:szCs w:val="22"/>
        </w:rPr>
        <w:t xml:space="preserve">Individual results vary. The ability to obtain settlement or judgment under the TCPA depends on numerous factors including the specific facts of each case, the ability to identify the calling party, applicable statutes of limitations, the nature of the calls received, and the jurisdiction in which any claim is filed. BVP RoboStop makes no representation or warranty that use of these materials will result in any particular outcome.</w:t>
      </w:r>
    </w:p>
    <w:p>
      <w:pPr>
        <w:spacing w:after="0" w:before="100"/>
      </w:pPr>
    </w:p>
    <w:p>
      <w:pPr>
        <w:spacing w:after="80" w:before="80"/>
      </w:pPr>
      <w:r>
        <w:rPr>
          <w:rFonts w:ascii="Arial" w:cs="Arial" w:eastAsia="Arial" w:hAnsi="Arial"/>
          <w:color w:val="4A5568"/>
          <w:sz w:val="22"/>
          <w:szCs w:val="22"/>
        </w:rPr>
        <w:t xml:space="preserve">For any claim with a potential value exceeding $5,000, involving complex fact patterns, or where the calling party has disputed liability, users are strongly encouraged to consult with a licensed TCPA attorney. Many TCPA attorneys operate on a contingency fee basis and will evaluate claims at no upfront cost.</w:t>
      </w:r>
    </w:p>
    <w:p>
      <w:pPr>
        <w:spacing w:after="0" w:before="100"/>
      </w:pPr>
    </w:p>
    <w:p>
      <w:pPr>
        <w:spacing w:after="80" w:before="240"/>
      </w:pPr>
      <w:r>
        <w:rPr>
          <w:rFonts w:ascii="Arial" w:cs="Arial" w:eastAsia="Arial" w:hAnsi="Arial"/>
          <w:b/>
          <w:bCs/>
          <w:color w:val="1B3A6B"/>
          <w:sz w:val="26"/>
          <w:szCs w:val="26"/>
        </w:rPr>
        <w:t xml:space="preserve">Copyright Notice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4"/>
              <w:left w:val="single" w:color="0A1628" w:sz="4"/>
              <w:bottom w:val="single" w:color="0A1628" w:sz="4"/>
              <w:right w:val="single" w:color="0A1628" w:sz="4"/>
            </w:tcBorders>
            <w:shd w:fill="0A1628"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 2026 BVP RoboStop. All Rights Reserved.</w:t>
            </w:r>
          </w:p>
          <w:p>
            <w:pPr>
              <w:spacing w:after="0" w:before="80"/>
              <w:jc w:val="center"/>
            </w:pPr>
            <w:r>
              <w:rPr>
                <w:rFonts w:ascii="Arial" w:cs="Arial" w:eastAsia="Arial" w:hAnsi="Arial"/>
                <w:i/>
                <w:iCs/>
                <w:color w:val="F0F4FA"/>
                <w:sz w:val="19"/>
                <w:szCs w:val="19"/>
              </w:rPr>
              <w:t xml:space="preserve">Unauthorized reproduction, distribution, or resale of this product or any of its components is strictly prohibited and may result in civil and criminal liability under applicable copyright law (17 U.S.C. § 501 et seq.).</w:t>
            </w:r>
          </w:p>
        </w:tc>
      </w:tr>
    </w:tbl>
    <w:p>
      <w:pPr>
        <w:spacing w:after="0" w:before="100"/>
      </w:pPr>
    </w:p>
    <w:p>
      <w:pPr>
        <w:spacing w:after="80" w:before="80"/>
      </w:pPr>
      <w:r>
        <w:rPr>
          <w:rFonts w:ascii="Arial" w:cs="Arial" w:eastAsia="Arial" w:hAnsi="Arial"/>
          <w:color w:val="4A5568"/>
          <w:sz w:val="22"/>
          <w:szCs w:val="22"/>
        </w:rPr>
        <w:t xml:space="preserve">All templates, guides, checklists, and written content contained in the BVP RoboStop Digital Product Package are original works of authorship protected by United States copyright law. Purchase of this product grants a single-user, non-transferable license to use the materials for personal legal self-help purposes only.</w:t>
      </w:r>
    </w:p>
    <w:p>
      <w:pPr>
        <w:spacing w:after="0" w:before="100"/>
      </w:pPr>
    </w:p>
    <w:p>
      <w:pPr>
        <w:spacing w:after="80" w:before="80"/>
      </w:pPr>
      <w:r>
        <w:rPr>
          <w:rFonts w:ascii="Arial" w:cs="Arial" w:eastAsia="Arial" w:hAnsi="Arial"/>
          <w:b/>
          <w:bCs/>
          <w:color w:val="0A1628"/>
          <w:sz w:val="22"/>
          <w:szCs w:val="22"/>
        </w:rPr>
        <w:t xml:space="preserve">Permitted Uses:</w:t>
      </w:r>
    </w:p>
    <w:p>
      <w:pPr>
        <w:pStyle w:val="ListParagraph"/>
        <w:numPr>
          <w:ilvl w:val="0"/>
          <w:numId w:val="2"/>
        </w:numPr>
        <w:spacing w:after="60" w:before="60"/>
      </w:pPr>
      <w:r>
        <w:rPr>
          <w:rFonts w:ascii="Arial" w:cs="Arial" w:eastAsia="Arial" w:hAnsi="Arial"/>
          <w:color w:val="4A5568"/>
          <w:sz w:val="22"/>
          <w:szCs w:val="22"/>
        </w:rPr>
        <w:t xml:space="preserve">Personal use for filing individual TCPA claims</w:t>
      </w:r>
    </w:p>
    <w:p>
      <w:pPr>
        <w:pStyle w:val="ListParagraph"/>
        <w:numPr>
          <w:ilvl w:val="0"/>
          <w:numId w:val="2"/>
        </w:numPr>
        <w:spacing w:after="60" w:before="60"/>
      </w:pPr>
      <w:r>
        <w:rPr>
          <w:rFonts w:ascii="Arial" w:cs="Arial" w:eastAsia="Arial" w:hAnsi="Arial"/>
          <w:color w:val="4A5568"/>
          <w:sz w:val="22"/>
          <w:szCs w:val="22"/>
        </w:rPr>
        <w:t xml:space="preserve">Completing templates with individual information</w:t>
      </w:r>
    </w:p>
    <w:p>
      <w:pPr>
        <w:pStyle w:val="ListParagraph"/>
        <w:numPr>
          <w:ilvl w:val="0"/>
          <w:numId w:val="2"/>
        </w:numPr>
        <w:spacing w:after="60" w:before="60"/>
      </w:pPr>
      <w:r>
        <w:rPr>
          <w:rFonts w:ascii="Arial" w:cs="Arial" w:eastAsia="Arial" w:hAnsi="Arial"/>
          <w:color w:val="4A5568"/>
          <w:sz w:val="22"/>
          <w:szCs w:val="22"/>
        </w:rPr>
        <w:t xml:space="preserve">Filing completed templates as evidence in individual legal proceedings</w:t>
      </w:r>
    </w:p>
    <w:p>
      <w:pPr>
        <w:spacing w:after="0" w:before="100"/>
      </w:pPr>
    </w:p>
    <w:p>
      <w:pPr>
        <w:spacing w:after="80" w:before="80"/>
      </w:pPr>
      <w:r>
        <w:rPr>
          <w:rFonts w:ascii="Arial" w:cs="Arial" w:eastAsia="Arial" w:hAnsi="Arial"/>
          <w:b/>
          <w:bCs/>
          <w:color w:val="0A1628"/>
          <w:sz w:val="22"/>
          <w:szCs w:val="22"/>
        </w:rPr>
        <w:t xml:space="preserve">Prohibited Uses:</w:t>
      </w:r>
    </w:p>
    <w:p>
      <w:pPr>
        <w:pStyle w:val="ListParagraph"/>
        <w:numPr>
          <w:ilvl w:val="0"/>
          <w:numId w:val="2"/>
        </w:numPr>
        <w:spacing w:after="60" w:before="60"/>
      </w:pPr>
      <w:r>
        <w:rPr>
          <w:rFonts w:ascii="Arial" w:cs="Arial" w:eastAsia="Arial" w:hAnsi="Arial"/>
          <w:color w:val="4A5568"/>
          <w:sz w:val="22"/>
          <w:szCs w:val="22"/>
        </w:rPr>
        <w:t xml:space="preserve">Resale, redistribution, or sub-licensing</w:t>
      </w:r>
    </w:p>
    <w:p>
      <w:pPr>
        <w:pStyle w:val="ListParagraph"/>
        <w:numPr>
          <w:ilvl w:val="0"/>
          <w:numId w:val="2"/>
        </w:numPr>
        <w:spacing w:after="60" w:before="60"/>
      </w:pPr>
      <w:r>
        <w:rPr>
          <w:rFonts w:ascii="Arial" w:cs="Arial" w:eastAsia="Arial" w:hAnsi="Arial"/>
          <w:color w:val="4A5568"/>
          <w:sz w:val="22"/>
          <w:szCs w:val="22"/>
        </w:rPr>
        <w:t xml:space="preserve">Use as a basis for a legal services business</w:t>
      </w:r>
    </w:p>
    <w:p>
      <w:pPr>
        <w:pStyle w:val="ListParagraph"/>
        <w:numPr>
          <w:ilvl w:val="0"/>
          <w:numId w:val="2"/>
        </w:numPr>
        <w:spacing w:after="60" w:before="60"/>
      </w:pPr>
      <w:r>
        <w:rPr>
          <w:rFonts w:ascii="Arial" w:cs="Arial" w:eastAsia="Arial" w:hAnsi="Arial"/>
          <w:color w:val="4A5568"/>
          <w:sz w:val="22"/>
          <w:szCs w:val="22"/>
        </w:rPr>
        <w:t xml:space="preserve">Sharing with more than one user</w:t>
      </w:r>
    </w:p>
    <w:p>
      <w:pPr>
        <w:pStyle w:val="ListParagraph"/>
        <w:numPr>
          <w:ilvl w:val="0"/>
          <w:numId w:val="2"/>
        </w:numPr>
        <w:spacing w:after="60" w:before="60"/>
      </w:pPr>
      <w:r>
        <w:rPr>
          <w:rFonts w:ascii="Arial" w:cs="Arial" w:eastAsia="Arial" w:hAnsi="Arial"/>
          <w:color w:val="4A5568"/>
          <w:sz w:val="22"/>
          <w:szCs w:val="22"/>
        </w:rPr>
        <w:t xml:space="preserve">Posting publicly or on document-sharing platforms</w:t>
      </w:r>
    </w:p>
    <w:p>
      <w:pPr>
        <w:pStyle w:val="ListParagraph"/>
        <w:numPr>
          <w:ilvl w:val="0"/>
          <w:numId w:val="2"/>
        </w:numPr>
        <w:spacing w:after="60" w:before="60"/>
      </w:pPr>
      <w:r>
        <w:rPr>
          <w:rFonts w:ascii="Arial" w:cs="Arial" w:eastAsia="Arial" w:hAnsi="Arial"/>
          <w:color w:val="4A5568"/>
          <w:sz w:val="22"/>
          <w:szCs w:val="22"/>
        </w:rPr>
        <w:t xml:space="preserve">Incorporation into other products without written authorization from BVP RoboStop</w:t>
      </w:r>
    </w:p>
    <w:p>
      <w:pPr>
        <w:spacing w:after="0" w:before="100"/>
      </w:pPr>
    </w:p>
    <w:p>
      <w:pPr>
        <w:spacing w:after="0" w:before="100"/>
      </w:pPr>
    </w:p>
    <w:p>
      <w:pPr>
        <w:pBdr>
          <w:top w:val="single" w:color="C9A84C" w:sz="4" w:space="1"/>
        </w:pBdr>
        <w:spacing w:after="80" w:before="240"/>
        <w:jc w:val="center"/>
      </w:pPr>
      <w:r>
        <w:rPr>
          <w:rFonts w:ascii="Arial" w:cs="Arial" w:eastAsia="Arial" w:hAnsi="Arial"/>
          <w:b/>
          <w:bCs/>
          <w:color w:val="0A1628"/>
          <w:sz w:val="20"/>
          <w:szCs w:val="20"/>
        </w:rPr>
        <w:t xml:space="preserve">BVP ROBOSTOP  |  © 2026  |  ALL RIGHTS RESERVED</w:t>
      </w:r>
    </w:p>
    <w:p>
      <w:pPr>
        <w:jc w:val="center"/>
      </w:pPr>
      <w:r>
        <w:rPr>
          <w:rFonts w:ascii="Arial" w:cs="Arial" w:eastAsia="Arial" w:hAnsi="Arial"/>
          <w:i/>
          <w:iCs/>
          <w:color w:val="4A5568"/>
          <w:sz w:val="18"/>
          <w:szCs w:val="18"/>
        </w:rPr>
        <w:t xml:space="preserve">For informational purposes only. Not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tabs>
        <w:tab w:val="right" w:pos="9360"/>
      </w:tabs>
      <w:spacing w:after="0" w:before="80"/>
    </w:pPr>
    <w:r>
      <w:rPr>
        <w:rFonts w:ascii="Arial" w:cs="Arial" w:eastAsia="Arial" w:hAnsi="Arial"/>
        <w:color w:val="4A5568"/>
        <w:sz w:val="18"/>
        <w:szCs w:val="18"/>
      </w:rPr>
      <w:t xml:space="preserve">© 2026 BVP RoboStop. All Rights Reserved. For informational purposes only — not legal advice.</w:t>
    </w:r>
    <w:r>
      <w:rPr>
        <w:rFonts w:ascii="Arial" w:cs="Arial" w:eastAsia="Arial" w:hAnsi="Arial"/>
        <w:color w:val="4A5568"/>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spacing w:after="120" w:before="0"/>
    </w:pPr>
    <w:r>
      <w:rPr>
        <w:rFonts w:ascii="Arial" w:cs="Arial" w:eastAsia="Arial" w:hAnsi="Arial"/>
        <w:b/>
        <w:bCs/>
        <w:color w:val="1B3A6B"/>
        <w:sz w:val="19"/>
        <w:szCs w:val="19"/>
      </w:rPr>
      <w:t xml:space="preserve">BVP ROBOSTOP  |  DIGITAL PRODUCT DOCUMENTATION</w:t>
    </w:r>
    <w:r>
      <w:rPr>
        <w:rFonts w:ascii="Arial" w:cs="Arial" w:eastAsia="Arial" w:hAnsi="Arial"/>
        <w:b/>
        <w:bCs/>
        <w:color w:val="C9A84C"/>
        <w:sz w:val="19"/>
        <w:szCs w:val="19"/>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2026-04-08T15:37:04.021Z</dcterms:created>
  <dcterms:modified xsi:type="dcterms:W3CDTF">2026-04-08T15:37:04.022Z</dcterms:modified>
</cp:coreProperties>
</file>

<file path=docProps/custom.xml><?xml version="1.0" encoding="utf-8"?>
<Properties xmlns="http://schemas.openxmlformats.org/officeDocument/2006/custom-properties" xmlns:vt="http://schemas.openxmlformats.org/officeDocument/2006/docPropsVTypes"/>
</file>