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8"/>
        </w:rPr>
        <w:t>CHARTE DE SÉCURITÉ INFORMATIQUE &amp; GOUVERNANCE IT</w:t>
      </w:r>
    </w:p>
    <w:p>
      <w:r>
        <w:t>Référence : POL-IT-SEC-2026 | Version : 4.1 | Classification : Interne Strict</w:t>
      </w:r>
    </w:p>
    <w:p>
      <w:pPr>
        <w:pStyle w:val="Heading1"/>
      </w:pPr>
      <w:r>
        <w:rPr>
          <w:color w:val="1F4E78"/>
        </w:rPr>
        <w:t>1. Authentification et Mots de Passe</w:t>
      </w:r>
    </w:p>
    <w:p>
      <w:r>
        <w:t>L'accès à l'infrastructure informatique de la Smart Factory (Réseau, ERP, Digital Twin 3D) est soumis aux exigences de sécurité suivantes :</w:t>
        <w:br/>
      </w:r>
      <w:r>
        <w:rPr>
          <w:b/>
        </w:rPr>
        <w:t xml:space="preserve">• Longueur minimale du mot de passe : </w:t>
      </w:r>
      <w:r>
        <w:t>16 caractères complexes (comprenant majuscules, minuscules, chiffres et caractères spéciaux).</w:t>
        <w:br/>
      </w:r>
      <w:r>
        <w:rPr>
          <w:b/>
        </w:rPr>
        <w:t xml:space="preserve">• Renouvellement : </w:t>
      </w:r>
      <w:r>
        <w:t>Obligatoire tous les 90 jours. La réutilisation des 8 anciens mots de passe est bloquée.</w:t>
        <w:br/>
      </w:r>
      <w:r>
        <w:rPr>
          <w:b/>
        </w:rPr>
        <w:t xml:space="preserve">• Authentification Multi-Facteurs (MFA) : </w:t>
      </w:r>
      <w:r>
        <w:t>Obligatoire pour l'ensemble des collaborateurs via l'application Microsoft Authenticator. Les SMS sont strictement interdits comme second facteur d'authentification.</w:t>
      </w:r>
    </w:p>
    <w:p>
      <w:pPr>
        <w:pStyle w:val="Heading1"/>
      </w:pPr>
      <w:r>
        <w:rPr>
          <w:color w:val="1F4E78"/>
        </w:rPr>
        <w:t>2. Accès Distant et VPN Usine</w:t>
      </w:r>
    </w:p>
    <w:p>
      <w:r>
        <w:t>Tout accès à distance au réseau industriel (VLAN Production / Capteurs IoT) doit emprunter exclusivement le tunnel VPN SSL sécurisé de l'entreprise. La durée maximale d'une session VPN continue est fixée à 8 heures, après quoi une reconnexion avec authentification MFA est exigée.</w:t>
      </w:r>
    </w:p>
    <w:p>
      <w:pPr>
        <w:pStyle w:val="Heading1"/>
      </w:pPr>
      <w:r>
        <w:rPr>
          <w:color w:val="1F4E78"/>
        </w:rPr>
        <w:t>3. Gestion des Incidents de Sécurité et Phishing</w:t>
      </w:r>
    </w:p>
    <w:p>
      <w:r>
        <w:t>En cas de réception d'un e-mail suspect ou de détection d'une anomalie sur un terminal ou un capteur IoT, le collaborateur doit immédiatement :</w:t>
        <w:br/>
        <w:t>1. Cliquer sur le bouton 'Signaler un Phishing' dans Outlook ou transférer le message à incident-it@smartfactory.com.</w:t>
        <w:br/>
        <w:t>2. En cas de suspicion de ransomware ou de compromission de compte, isoler immédiatement la machine du réseau (débrancher le câble Ethernet / couper le Wi-Fi).</w:t>
        <w:br/>
        <w:t>3. Contacter la hotline IT au poste interne 4444 (disponible 24h/24 et 7j/7).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