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589" w:rsidRPr="00701589" w:rsidRDefault="00701589" w:rsidP="00701589">
      <w:pPr>
        <w:rPr>
          <w:rFonts w:asciiTheme="majorBidi" w:hAnsiTheme="majorBidi" w:cstheme="majorBidi"/>
          <w:b/>
          <w:bCs/>
        </w:rPr>
      </w:pPr>
      <w:r w:rsidRPr="00701589">
        <w:rPr>
          <w:rFonts w:asciiTheme="majorBidi" w:hAnsiTheme="majorBidi" w:cstheme="majorBidi"/>
          <w:b/>
          <w:bCs/>
        </w:rPr>
        <w:t xml:space="preserve">FSB-USTHB                </w:t>
      </w:r>
      <w:r w:rsidRPr="00701589">
        <w:rPr>
          <w:rFonts w:asciiTheme="majorBidi" w:hAnsiTheme="majorBidi" w:cstheme="majorBidi"/>
          <w:b/>
          <w:bCs/>
        </w:rPr>
        <w:t xml:space="preserve">                        </w:t>
      </w:r>
      <w:r w:rsidRPr="00701589">
        <w:rPr>
          <w:rFonts w:asciiTheme="majorBidi" w:hAnsiTheme="majorBidi" w:cstheme="majorBidi"/>
          <w:b/>
          <w:bCs/>
        </w:rPr>
        <w:t xml:space="preserve"> M1 SP              </w:t>
      </w:r>
      <w:r w:rsidRPr="00701589">
        <w:rPr>
          <w:rFonts w:asciiTheme="majorBidi" w:hAnsiTheme="majorBidi" w:cstheme="majorBidi"/>
          <w:b/>
          <w:bCs/>
        </w:rPr>
        <w:t xml:space="preserve">                                                    </w:t>
      </w:r>
      <w:r w:rsidRPr="00701589">
        <w:rPr>
          <w:rFonts w:asciiTheme="majorBidi" w:hAnsiTheme="majorBidi" w:cstheme="majorBidi"/>
          <w:b/>
          <w:bCs/>
        </w:rPr>
        <w:t xml:space="preserve"> Octobre 202</w:t>
      </w:r>
      <w:r w:rsidRPr="00701589">
        <w:rPr>
          <w:rFonts w:asciiTheme="majorBidi" w:hAnsiTheme="majorBidi" w:cstheme="majorBidi"/>
          <w:b/>
          <w:bCs/>
        </w:rPr>
        <w:t>5</w:t>
      </w:r>
    </w:p>
    <w:p w:rsidR="00701589" w:rsidRPr="00701589" w:rsidRDefault="00701589" w:rsidP="00701589">
      <w:pPr>
        <w:jc w:val="center"/>
        <w:rPr>
          <w:rFonts w:asciiTheme="majorBidi" w:hAnsiTheme="majorBidi" w:cstheme="majorBidi"/>
          <w:b/>
          <w:bCs/>
        </w:rPr>
      </w:pPr>
      <w:r w:rsidRPr="00701589">
        <w:rPr>
          <w:rFonts w:asciiTheme="majorBidi" w:hAnsiTheme="majorBidi" w:cstheme="majorBidi"/>
          <w:b/>
          <w:bCs/>
        </w:rPr>
        <w:t>TP01 : Test Non-Paramétriques</w:t>
      </w:r>
    </w:p>
    <w:p w:rsidR="00701589" w:rsidRPr="00701589" w:rsidRDefault="00701589" w:rsidP="00701589">
      <w:pPr>
        <w:rPr>
          <w:rFonts w:asciiTheme="majorBidi" w:hAnsiTheme="majorBidi" w:cstheme="majorBidi"/>
          <w:b/>
          <w:bCs/>
        </w:rPr>
      </w:pPr>
    </w:p>
    <w:p w:rsidR="00701589" w:rsidRPr="00701589" w:rsidRDefault="00701589" w:rsidP="00701589">
      <w:pPr>
        <w:rPr>
          <w:rFonts w:asciiTheme="majorBidi" w:hAnsiTheme="majorBidi" w:cstheme="majorBidi"/>
          <w:b/>
          <w:bCs/>
        </w:rPr>
      </w:pPr>
      <w:r w:rsidRPr="00701589">
        <w:rPr>
          <w:rFonts w:asciiTheme="majorBidi" w:hAnsiTheme="majorBidi" w:cstheme="majorBidi"/>
          <w:b/>
          <w:bCs/>
        </w:rPr>
        <w:t>Exercice1</w:t>
      </w:r>
    </w:p>
    <w:p w:rsidR="00701589" w:rsidRPr="00701589" w:rsidRDefault="00701589" w:rsidP="00701589">
      <w:pPr>
        <w:jc w:val="both"/>
        <w:rPr>
          <w:rFonts w:asciiTheme="majorBidi" w:hAnsiTheme="majorBidi" w:cstheme="majorBidi"/>
          <w:b/>
          <w:bCs/>
        </w:rPr>
      </w:pPr>
      <w:r w:rsidRPr="00701589">
        <w:rPr>
          <w:rFonts w:asciiTheme="majorBidi" w:hAnsiTheme="majorBidi" w:cstheme="majorBidi"/>
        </w:rPr>
        <w:t>Une expérience de recherche visant à évaluer les effets d'une inhalation prolongée d'oxyde de cadmium. 15 animaux servaient de sujets expérimentaux, tandis que 10 animaux similaires servaient de témoins. La variable d'intérêt était le taux d'hémoglobine après l'expérience. Nous souhaitons savoir si nous pouvons en conclure que l'inhalation prolongée de cadmium réduit le taux d'hémoglobine.</w:t>
      </w:r>
    </w:p>
    <w:p w:rsidR="00701589" w:rsidRPr="00701589" w:rsidRDefault="00701589" w:rsidP="00701589">
      <w:pPr>
        <w:autoSpaceDE w:val="0"/>
        <w:autoSpaceDN w:val="0"/>
        <w:adjustRightInd w:val="0"/>
        <w:jc w:val="both"/>
        <w:rPr>
          <w:rFonts w:asciiTheme="majorBidi" w:hAnsiTheme="majorBidi" w:cstheme="majorBidi"/>
        </w:rPr>
      </w:pP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0"/>
        <w:gridCol w:w="740"/>
        <w:gridCol w:w="640"/>
        <w:gridCol w:w="580"/>
        <w:gridCol w:w="620"/>
        <w:gridCol w:w="580"/>
        <w:gridCol w:w="580"/>
        <w:gridCol w:w="560"/>
        <w:gridCol w:w="560"/>
        <w:gridCol w:w="560"/>
        <w:gridCol w:w="560"/>
        <w:gridCol w:w="700"/>
        <w:gridCol w:w="560"/>
      </w:tblGrid>
      <w:tr w:rsidR="00701589" w:rsidRPr="00701589" w:rsidTr="00701589">
        <w:trPr>
          <w:trHeight w:val="270"/>
          <w:jc w:val="center"/>
        </w:trPr>
        <w:tc>
          <w:tcPr>
            <w:tcW w:w="980" w:type="dxa"/>
            <w:shd w:val="clear" w:color="auto" w:fill="auto"/>
            <w:noWrap/>
            <w:vAlign w:val="bottom"/>
            <w:hideMark/>
          </w:tcPr>
          <w:p w:rsidR="00701589" w:rsidRPr="00701589" w:rsidRDefault="00701589" w:rsidP="00701589">
            <w:pPr>
              <w:rPr>
                <w:rFonts w:asciiTheme="majorBidi" w:hAnsiTheme="majorBidi" w:cstheme="majorBidi"/>
              </w:rPr>
            </w:pPr>
            <w:r w:rsidRPr="00701589">
              <w:rPr>
                <w:rFonts w:asciiTheme="majorBidi" w:hAnsiTheme="majorBidi" w:cstheme="majorBidi"/>
              </w:rPr>
              <w:t>Témoins</w:t>
            </w:r>
          </w:p>
        </w:tc>
        <w:tc>
          <w:tcPr>
            <w:tcW w:w="74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15</w:t>
            </w:r>
          </w:p>
        </w:tc>
        <w:tc>
          <w:tcPr>
            <w:tcW w:w="64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15</w:t>
            </w:r>
          </w:p>
        </w:tc>
        <w:tc>
          <w:tcPr>
            <w:tcW w:w="58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16</w:t>
            </w:r>
          </w:p>
        </w:tc>
        <w:tc>
          <w:tcPr>
            <w:tcW w:w="62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16,2</w:t>
            </w:r>
          </w:p>
        </w:tc>
        <w:tc>
          <w:tcPr>
            <w:tcW w:w="58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16,3</w:t>
            </w:r>
          </w:p>
        </w:tc>
        <w:tc>
          <w:tcPr>
            <w:tcW w:w="58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16,8</w:t>
            </w:r>
          </w:p>
        </w:tc>
        <w:tc>
          <w:tcPr>
            <w:tcW w:w="56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16,9</w:t>
            </w:r>
          </w:p>
        </w:tc>
        <w:tc>
          <w:tcPr>
            <w:tcW w:w="560" w:type="dxa"/>
            <w:shd w:val="clear" w:color="auto" w:fill="auto"/>
            <w:noWrap/>
            <w:vAlign w:val="bottom"/>
            <w:hideMark/>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17,1</w:t>
            </w:r>
          </w:p>
        </w:tc>
        <w:tc>
          <w:tcPr>
            <w:tcW w:w="560" w:type="dxa"/>
            <w:shd w:val="clear" w:color="auto" w:fill="auto"/>
            <w:noWrap/>
            <w:vAlign w:val="bottom"/>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17,4</w:t>
            </w:r>
          </w:p>
        </w:tc>
        <w:tc>
          <w:tcPr>
            <w:tcW w:w="560" w:type="dxa"/>
            <w:shd w:val="clear" w:color="auto" w:fill="auto"/>
            <w:noWrap/>
            <w:vAlign w:val="bottom"/>
          </w:tcPr>
          <w:p w:rsidR="00701589" w:rsidRPr="00701589" w:rsidRDefault="00701589" w:rsidP="00701589">
            <w:pPr>
              <w:jc w:val="right"/>
              <w:rPr>
                <w:rFonts w:asciiTheme="majorBidi" w:hAnsiTheme="majorBidi" w:cstheme="majorBidi"/>
              </w:rPr>
            </w:pPr>
            <w:r w:rsidRPr="00701589">
              <w:rPr>
                <w:rFonts w:asciiTheme="majorBidi" w:hAnsiTheme="majorBidi" w:cstheme="majorBidi"/>
              </w:rPr>
              <w:t>17,5</w:t>
            </w:r>
          </w:p>
        </w:tc>
        <w:tc>
          <w:tcPr>
            <w:tcW w:w="700" w:type="dxa"/>
            <w:shd w:val="clear" w:color="auto" w:fill="auto"/>
            <w:noWrap/>
            <w:vAlign w:val="bottom"/>
          </w:tcPr>
          <w:p w:rsidR="00701589" w:rsidRPr="00701589" w:rsidRDefault="00701589" w:rsidP="00701589">
            <w:pPr>
              <w:jc w:val="right"/>
              <w:rPr>
                <w:rFonts w:asciiTheme="majorBidi" w:hAnsiTheme="majorBidi" w:cstheme="majorBidi"/>
              </w:rPr>
            </w:pPr>
          </w:p>
        </w:tc>
        <w:tc>
          <w:tcPr>
            <w:tcW w:w="560" w:type="dxa"/>
            <w:shd w:val="clear" w:color="auto" w:fill="auto"/>
            <w:noWrap/>
            <w:vAlign w:val="bottom"/>
          </w:tcPr>
          <w:p w:rsidR="00701589" w:rsidRPr="00701589" w:rsidRDefault="00701589" w:rsidP="00701589">
            <w:pPr>
              <w:jc w:val="right"/>
              <w:rPr>
                <w:rFonts w:asciiTheme="majorBidi" w:hAnsiTheme="majorBidi" w:cstheme="majorBidi"/>
              </w:rPr>
            </w:pPr>
          </w:p>
        </w:tc>
      </w:tr>
      <w:tr w:rsidR="00701589" w:rsidRPr="00701589" w:rsidTr="00701589">
        <w:trPr>
          <w:trHeight w:val="270"/>
          <w:jc w:val="center"/>
        </w:trPr>
        <w:tc>
          <w:tcPr>
            <w:tcW w:w="98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X</w:t>
            </w:r>
          </w:p>
        </w:tc>
        <w:tc>
          <w:tcPr>
            <w:tcW w:w="74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13,7</w:t>
            </w:r>
          </w:p>
        </w:tc>
        <w:tc>
          <w:tcPr>
            <w:tcW w:w="64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13,8</w:t>
            </w:r>
          </w:p>
        </w:tc>
        <w:tc>
          <w:tcPr>
            <w:tcW w:w="58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14</w:t>
            </w:r>
          </w:p>
        </w:tc>
        <w:tc>
          <w:tcPr>
            <w:tcW w:w="62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14,1</w:t>
            </w:r>
          </w:p>
        </w:tc>
        <w:tc>
          <w:tcPr>
            <w:tcW w:w="58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14,1</w:t>
            </w:r>
          </w:p>
        </w:tc>
        <w:tc>
          <w:tcPr>
            <w:tcW w:w="58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14,2</w:t>
            </w:r>
          </w:p>
        </w:tc>
        <w:tc>
          <w:tcPr>
            <w:tcW w:w="56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14,4</w:t>
            </w:r>
          </w:p>
        </w:tc>
        <w:tc>
          <w:tcPr>
            <w:tcW w:w="56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15</w:t>
            </w:r>
          </w:p>
        </w:tc>
        <w:tc>
          <w:tcPr>
            <w:tcW w:w="56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15,3</w:t>
            </w:r>
          </w:p>
        </w:tc>
        <w:tc>
          <w:tcPr>
            <w:tcW w:w="56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15,6</w:t>
            </w:r>
          </w:p>
        </w:tc>
        <w:tc>
          <w:tcPr>
            <w:tcW w:w="70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15,7</w:t>
            </w:r>
          </w:p>
        </w:tc>
        <w:tc>
          <w:tcPr>
            <w:tcW w:w="56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15,9</w:t>
            </w:r>
          </w:p>
        </w:tc>
      </w:tr>
    </w:tbl>
    <w:p w:rsidR="00701589" w:rsidRPr="00701589" w:rsidRDefault="00701589" w:rsidP="00701589">
      <w:pPr>
        <w:rPr>
          <w:rFonts w:asciiTheme="majorBidi" w:hAnsiTheme="majorBidi" w:cstheme="majorBidi"/>
          <w:b/>
          <w:bCs/>
        </w:rPr>
      </w:pPr>
    </w:p>
    <w:p w:rsidR="00701589" w:rsidRPr="00701589" w:rsidRDefault="00701589" w:rsidP="00701589">
      <w:pPr>
        <w:rPr>
          <w:rFonts w:asciiTheme="majorBidi" w:hAnsiTheme="majorBidi" w:cstheme="majorBidi"/>
          <w:b/>
          <w:bCs/>
        </w:rPr>
      </w:pPr>
    </w:p>
    <w:p w:rsidR="00701589" w:rsidRPr="00701589" w:rsidRDefault="00701589" w:rsidP="00701589">
      <w:pPr>
        <w:jc w:val="both"/>
        <w:rPr>
          <w:rFonts w:asciiTheme="majorBidi" w:hAnsiTheme="majorBidi" w:cstheme="majorBidi"/>
          <w:b/>
          <w:bCs/>
        </w:rPr>
      </w:pPr>
      <w:r w:rsidRPr="00701589">
        <w:rPr>
          <w:rFonts w:asciiTheme="majorBidi" w:hAnsiTheme="majorBidi" w:cstheme="majorBidi"/>
          <w:b/>
          <w:bCs/>
        </w:rPr>
        <w:t xml:space="preserve">Exercice2. </w:t>
      </w:r>
    </w:p>
    <w:p w:rsidR="00701589" w:rsidRPr="00701589" w:rsidRDefault="00701589" w:rsidP="00701589">
      <w:pPr>
        <w:rPr>
          <w:rFonts w:asciiTheme="majorBidi" w:hAnsiTheme="majorBidi" w:cstheme="majorBidi"/>
          <w:color w:val="000000"/>
        </w:rPr>
      </w:pPr>
      <w:r w:rsidRPr="00701589">
        <w:rPr>
          <w:rFonts w:asciiTheme="majorBidi" w:hAnsiTheme="majorBidi" w:cstheme="majorBidi"/>
          <w:color w:val="000000"/>
        </w:rPr>
        <w:t xml:space="preserve">Une expérience a pour but d'étudier la réponse à différentes méthodes de prendre l'insuline chez des patients souffrant d'un diabète de type I. Le pourcentage d'hémoglobine avec </w:t>
      </w:r>
      <w:proofErr w:type="spellStart"/>
      <w:r w:rsidRPr="00701589">
        <w:rPr>
          <w:rFonts w:asciiTheme="majorBidi" w:hAnsiTheme="majorBidi" w:cstheme="majorBidi"/>
          <w:color w:val="000000"/>
        </w:rPr>
        <w:t>glycosol</w:t>
      </w:r>
      <w:proofErr w:type="spellEnd"/>
      <w:r w:rsidRPr="00701589">
        <w:rPr>
          <w:rFonts w:asciiTheme="majorBidi" w:hAnsiTheme="majorBidi" w:cstheme="majorBidi"/>
          <w:color w:val="000000"/>
        </w:rPr>
        <w:t xml:space="preserve"> a été mesuré initialement puis après 3 mois. Les résultats sont dans le tableau </w:t>
      </w:r>
      <w:proofErr w:type="gramStart"/>
      <w:r w:rsidRPr="00701589">
        <w:rPr>
          <w:rFonts w:asciiTheme="majorBidi" w:hAnsiTheme="majorBidi" w:cstheme="majorBidi"/>
          <w:color w:val="000000"/>
        </w:rPr>
        <w:t>suivant:</w:t>
      </w:r>
      <w:proofErr w:type="gramEnd"/>
    </w:p>
    <w:p w:rsidR="00701589" w:rsidRPr="00701589" w:rsidRDefault="00701589" w:rsidP="00701589">
      <w:pPr>
        <w:rPr>
          <w:rFonts w:asciiTheme="majorBidi" w:hAnsiTheme="majorBidi" w:cstheme="majorBidi"/>
        </w:rPr>
      </w:pPr>
    </w:p>
    <w:tbl>
      <w:tblPr>
        <w:tblW w:w="7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69"/>
        <w:gridCol w:w="580"/>
        <w:gridCol w:w="640"/>
        <w:gridCol w:w="669"/>
        <w:gridCol w:w="780"/>
        <w:gridCol w:w="580"/>
        <w:gridCol w:w="669"/>
        <w:gridCol w:w="537"/>
      </w:tblGrid>
      <w:tr w:rsidR="00701589" w:rsidRPr="00701589" w:rsidTr="00701589">
        <w:trPr>
          <w:trHeight w:val="270"/>
          <w:jc w:val="center"/>
        </w:trPr>
        <w:tc>
          <w:tcPr>
            <w:tcW w:w="2694"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Patient</w:t>
            </w:r>
          </w:p>
        </w:tc>
        <w:tc>
          <w:tcPr>
            <w:tcW w:w="669"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w:t>
            </w:r>
          </w:p>
        </w:tc>
        <w:tc>
          <w:tcPr>
            <w:tcW w:w="58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2</w:t>
            </w:r>
          </w:p>
        </w:tc>
        <w:tc>
          <w:tcPr>
            <w:tcW w:w="64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3</w:t>
            </w:r>
          </w:p>
        </w:tc>
        <w:tc>
          <w:tcPr>
            <w:tcW w:w="669"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4</w:t>
            </w:r>
          </w:p>
        </w:tc>
        <w:tc>
          <w:tcPr>
            <w:tcW w:w="78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5</w:t>
            </w:r>
          </w:p>
        </w:tc>
        <w:tc>
          <w:tcPr>
            <w:tcW w:w="580"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6</w:t>
            </w:r>
          </w:p>
        </w:tc>
        <w:tc>
          <w:tcPr>
            <w:tcW w:w="669"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7</w:t>
            </w:r>
          </w:p>
        </w:tc>
        <w:tc>
          <w:tcPr>
            <w:tcW w:w="537"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8</w:t>
            </w:r>
          </w:p>
        </w:tc>
      </w:tr>
      <w:tr w:rsidR="00701589" w:rsidRPr="00701589" w:rsidTr="00701589">
        <w:trPr>
          <w:trHeight w:val="270"/>
          <w:jc w:val="center"/>
        </w:trPr>
        <w:tc>
          <w:tcPr>
            <w:tcW w:w="2694"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Mesure initiale</w:t>
            </w:r>
          </w:p>
        </w:tc>
        <w:tc>
          <w:tcPr>
            <w:tcW w:w="669"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11.0</w:t>
            </w:r>
          </w:p>
        </w:tc>
        <w:tc>
          <w:tcPr>
            <w:tcW w:w="58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7.7</w:t>
            </w:r>
          </w:p>
        </w:tc>
        <w:tc>
          <w:tcPr>
            <w:tcW w:w="64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5.9</w:t>
            </w:r>
          </w:p>
        </w:tc>
        <w:tc>
          <w:tcPr>
            <w:tcW w:w="669"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9.5</w:t>
            </w:r>
          </w:p>
        </w:tc>
        <w:tc>
          <w:tcPr>
            <w:tcW w:w="78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8.7</w:t>
            </w:r>
          </w:p>
        </w:tc>
        <w:tc>
          <w:tcPr>
            <w:tcW w:w="58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8.6</w:t>
            </w:r>
          </w:p>
        </w:tc>
        <w:tc>
          <w:tcPr>
            <w:tcW w:w="669"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11.0</w:t>
            </w:r>
          </w:p>
        </w:tc>
        <w:tc>
          <w:tcPr>
            <w:tcW w:w="537"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6.9</w:t>
            </w:r>
          </w:p>
        </w:tc>
      </w:tr>
      <w:tr w:rsidR="00701589" w:rsidRPr="00701589" w:rsidTr="00701589">
        <w:trPr>
          <w:trHeight w:val="270"/>
          <w:jc w:val="center"/>
        </w:trPr>
        <w:tc>
          <w:tcPr>
            <w:tcW w:w="2694"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Mesure après 3 mois</w:t>
            </w:r>
          </w:p>
        </w:tc>
        <w:tc>
          <w:tcPr>
            <w:tcW w:w="669"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10.2</w:t>
            </w:r>
          </w:p>
        </w:tc>
        <w:tc>
          <w:tcPr>
            <w:tcW w:w="58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7.9</w:t>
            </w:r>
          </w:p>
        </w:tc>
        <w:tc>
          <w:tcPr>
            <w:tcW w:w="64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6.5</w:t>
            </w:r>
          </w:p>
        </w:tc>
        <w:tc>
          <w:tcPr>
            <w:tcW w:w="669"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10.4</w:t>
            </w:r>
          </w:p>
        </w:tc>
        <w:tc>
          <w:tcPr>
            <w:tcW w:w="78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8.8</w:t>
            </w:r>
          </w:p>
        </w:tc>
        <w:tc>
          <w:tcPr>
            <w:tcW w:w="580"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9.0</w:t>
            </w:r>
          </w:p>
        </w:tc>
        <w:tc>
          <w:tcPr>
            <w:tcW w:w="669"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9.5</w:t>
            </w:r>
          </w:p>
        </w:tc>
        <w:tc>
          <w:tcPr>
            <w:tcW w:w="537"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7.6</w:t>
            </w:r>
          </w:p>
        </w:tc>
      </w:tr>
    </w:tbl>
    <w:p w:rsidR="00701589" w:rsidRPr="00701589" w:rsidRDefault="00701589" w:rsidP="00701589">
      <w:pPr>
        <w:rPr>
          <w:rFonts w:asciiTheme="majorBidi" w:hAnsiTheme="majorBidi" w:cstheme="majorBidi"/>
        </w:rPr>
      </w:pPr>
    </w:p>
    <w:p w:rsidR="00701589" w:rsidRPr="00701589" w:rsidRDefault="00701589" w:rsidP="00701589">
      <w:pPr>
        <w:autoSpaceDE w:val="0"/>
        <w:autoSpaceDN w:val="0"/>
        <w:adjustRightInd w:val="0"/>
        <w:jc w:val="both"/>
        <w:rPr>
          <w:rFonts w:asciiTheme="majorBidi" w:hAnsiTheme="majorBidi" w:cstheme="majorBidi"/>
        </w:rPr>
      </w:pPr>
    </w:p>
    <w:p w:rsidR="00701589" w:rsidRPr="00701589" w:rsidRDefault="00701589" w:rsidP="00701589">
      <w:pPr>
        <w:rPr>
          <w:rFonts w:asciiTheme="majorBidi" w:hAnsiTheme="majorBidi" w:cstheme="majorBidi"/>
        </w:rPr>
      </w:pPr>
    </w:p>
    <w:p w:rsidR="00701589" w:rsidRPr="00701589" w:rsidRDefault="00701589" w:rsidP="00701589">
      <w:pPr>
        <w:jc w:val="both"/>
        <w:rPr>
          <w:rFonts w:asciiTheme="majorBidi" w:hAnsiTheme="majorBidi" w:cstheme="majorBidi"/>
        </w:rPr>
      </w:pPr>
      <w:r>
        <w:rPr>
          <w:rFonts w:asciiTheme="majorBidi" w:hAnsiTheme="majorBidi" w:cstheme="majorBidi"/>
          <w:b/>
          <w:bCs/>
        </w:rPr>
        <w:t>Exercice3</w:t>
      </w:r>
      <w:r w:rsidRPr="00701589">
        <w:rPr>
          <w:rFonts w:asciiTheme="majorBidi" w:hAnsiTheme="majorBidi" w:cstheme="majorBidi"/>
        </w:rPr>
        <w:t>. Un essai clinique est en cours pour évaluer l'efficacité d'un nouveau traitement antirétroviral pour les patients atteints du VIH. Les patients sont randomisés pour recevoir un traitement antirétroviral standard (traitement habituel) ou le nouveau traitement antirétroviral et sont suivis pendant 3 mois. Le résultat principal est la charge virale, qui représente le nombre de copies du VIH par millilitre de sang. Au total, 30 participants sont randomisés et les données sont présentées ci-dessous.</w:t>
      </w:r>
    </w:p>
    <w:p w:rsidR="00701589" w:rsidRPr="00701589" w:rsidRDefault="00701589" w:rsidP="00701589">
      <w:pPr>
        <w:rPr>
          <w:rFonts w:asciiTheme="majorBidi" w:hAnsiTheme="majorBidi" w:cstheme="majorBidi"/>
        </w:rPr>
      </w:pPr>
    </w:p>
    <w:tbl>
      <w:tblPr>
        <w:tblW w:w="11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1"/>
        <w:gridCol w:w="621"/>
        <w:gridCol w:w="646"/>
        <w:gridCol w:w="621"/>
        <w:gridCol w:w="621"/>
        <w:gridCol w:w="621"/>
        <w:gridCol w:w="621"/>
        <w:gridCol w:w="621"/>
        <w:gridCol w:w="621"/>
        <w:gridCol w:w="646"/>
        <w:gridCol w:w="707"/>
        <w:gridCol w:w="621"/>
        <w:gridCol w:w="621"/>
        <w:gridCol w:w="621"/>
        <w:gridCol w:w="646"/>
        <w:gridCol w:w="1123"/>
      </w:tblGrid>
      <w:tr w:rsidR="00701589" w:rsidRPr="00701589" w:rsidTr="0051091E">
        <w:trPr>
          <w:trHeight w:val="299"/>
        </w:trPr>
        <w:tc>
          <w:tcPr>
            <w:tcW w:w="1101"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Thérapie standard</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7500</w:t>
            </w:r>
          </w:p>
        </w:tc>
        <w:tc>
          <w:tcPr>
            <w:tcW w:w="646"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8000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2000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550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1250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1000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2250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6800</w:t>
            </w:r>
          </w:p>
        </w:tc>
        <w:tc>
          <w:tcPr>
            <w:tcW w:w="646"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3400</w:t>
            </w:r>
          </w:p>
        </w:tc>
        <w:tc>
          <w:tcPr>
            <w:tcW w:w="707"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6300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9100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970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1040</w:t>
            </w:r>
          </w:p>
        </w:tc>
        <w:tc>
          <w:tcPr>
            <w:tcW w:w="646"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670</w:t>
            </w:r>
          </w:p>
        </w:tc>
        <w:tc>
          <w:tcPr>
            <w:tcW w:w="1123"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400</w:t>
            </w:r>
          </w:p>
        </w:tc>
      </w:tr>
      <w:tr w:rsidR="00701589" w:rsidRPr="00701589" w:rsidTr="0051091E">
        <w:trPr>
          <w:trHeight w:val="299"/>
        </w:trPr>
        <w:tc>
          <w:tcPr>
            <w:tcW w:w="1101" w:type="dxa"/>
            <w:shd w:val="clear" w:color="auto" w:fill="auto"/>
            <w:noWrap/>
            <w:vAlign w:val="bottom"/>
            <w:hideMark/>
          </w:tcPr>
          <w:p w:rsidR="00701589" w:rsidRPr="00701589" w:rsidRDefault="00701589" w:rsidP="0051091E">
            <w:pPr>
              <w:rPr>
                <w:rFonts w:asciiTheme="majorBidi" w:hAnsiTheme="majorBidi" w:cstheme="majorBidi"/>
              </w:rPr>
            </w:pPr>
            <w:r w:rsidRPr="00701589">
              <w:rPr>
                <w:rFonts w:asciiTheme="majorBidi" w:hAnsiTheme="majorBidi" w:cstheme="majorBidi"/>
              </w:rPr>
              <w:t>Nouvelle thérapie</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400</w:t>
            </w:r>
          </w:p>
        </w:tc>
        <w:tc>
          <w:tcPr>
            <w:tcW w:w="646"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250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800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1400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8000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7400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1020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6000</w:t>
            </w:r>
          </w:p>
        </w:tc>
        <w:tc>
          <w:tcPr>
            <w:tcW w:w="646"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920</w:t>
            </w:r>
          </w:p>
        </w:tc>
        <w:tc>
          <w:tcPr>
            <w:tcW w:w="707"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1420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2700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4200</w:t>
            </w:r>
          </w:p>
        </w:tc>
        <w:tc>
          <w:tcPr>
            <w:tcW w:w="621"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5200</w:t>
            </w:r>
          </w:p>
        </w:tc>
        <w:tc>
          <w:tcPr>
            <w:tcW w:w="646" w:type="dxa"/>
            <w:shd w:val="clear" w:color="auto" w:fill="auto"/>
            <w:noWrap/>
            <w:vAlign w:val="bottom"/>
            <w:hideMark/>
          </w:tcPr>
          <w:p w:rsidR="00701589" w:rsidRPr="00701589" w:rsidRDefault="00701589" w:rsidP="0051091E">
            <w:pPr>
              <w:jc w:val="right"/>
              <w:rPr>
                <w:rFonts w:asciiTheme="majorBidi" w:hAnsiTheme="majorBidi" w:cstheme="majorBidi"/>
              </w:rPr>
            </w:pPr>
            <w:r w:rsidRPr="00701589">
              <w:rPr>
                <w:rFonts w:asciiTheme="majorBidi" w:hAnsiTheme="majorBidi" w:cstheme="majorBidi"/>
              </w:rPr>
              <w:t>4100</w:t>
            </w:r>
          </w:p>
        </w:tc>
        <w:tc>
          <w:tcPr>
            <w:tcW w:w="1123" w:type="dxa"/>
            <w:shd w:val="clear" w:color="auto" w:fill="auto"/>
            <w:noWrap/>
            <w:vAlign w:val="bottom"/>
            <w:hideMark/>
          </w:tcPr>
          <w:p w:rsidR="00701589" w:rsidRPr="00701589" w:rsidRDefault="00701589" w:rsidP="0051091E">
            <w:pPr>
              <w:rPr>
                <w:rFonts w:asciiTheme="majorBidi" w:hAnsiTheme="majorBidi" w:cstheme="majorBidi"/>
              </w:rPr>
            </w:pPr>
            <w:proofErr w:type="spellStart"/>
            <w:r w:rsidRPr="00701589">
              <w:rPr>
                <w:rFonts w:asciiTheme="majorBidi" w:hAnsiTheme="majorBidi" w:cstheme="majorBidi"/>
              </w:rPr>
              <w:t>Undetec</w:t>
            </w:r>
            <w:proofErr w:type="spellEnd"/>
          </w:p>
          <w:p w:rsidR="00701589" w:rsidRPr="00701589" w:rsidRDefault="00701589" w:rsidP="0051091E">
            <w:pPr>
              <w:rPr>
                <w:rFonts w:asciiTheme="majorBidi" w:hAnsiTheme="majorBidi" w:cstheme="majorBidi"/>
              </w:rPr>
            </w:pPr>
            <w:r w:rsidRPr="00701589">
              <w:rPr>
                <w:rFonts w:asciiTheme="majorBidi" w:hAnsiTheme="majorBidi" w:cstheme="majorBidi"/>
              </w:rPr>
              <w:t>table</w:t>
            </w:r>
          </w:p>
        </w:tc>
      </w:tr>
    </w:tbl>
    <w:p w:rsidR="00701589" w:rsidRPr="00701589" w:rsidRDefault="00701589" w:rsidP="00701589">
      <w:pPr>
        <w:rPr>
          <w:rFonts w:asciiTheme="majorBidi" w:hAnsiTheme="majorBidi" w:cstheme="majorBidi"/>
        </w:rPr>
      </w:pPr>
    </w:p>
    <w:p w:rsidR="00701589" w:rsidRPr="00701589" w:rsidRDefault="00701589" w:rsidP="00701589">
      <w:pPr>
        <w:rPr>
          <w:rFonts w:asciiTheme="majorBidi" w:hAnsiTheme="majorBidi" w:cstheme="majorBidi"/>
        </w:rPr>
      </w:pPr>
      <w:r w:rsidRPr="00701589">
        <w:rPr>
          <w:rFonts w:asciiTheme="majorBidi" w:hAnsiTheme="majorBidi" w:cstheme="majorBidi"/>
        </w:rPr>
        <w:t>Y at-il des preuves statistiques d'une différence de charge virale chez les patients recevant la norme par rapport à la nouvelle thérapie antirétrovirale ?</w:t>
      </w:r>
    </w:p>
    <w:p w:rsidR="00701589" w:rsidRPr="00701589" w:rsidRDefault="00701589" w:rsidP="00701589">
      <w:pPr>
        <w:rPr>
          <w:rFonts w:asciiTheme="majorBidi" w:hAnsiTheme="majorBidi" w:cstheme="majorBidi"/>
        </w:rPr>
      </w:pPr>
    </w:p>
    <w:p w:rsidR="00701589" w:rsidRPr="00701589" w:rsidRDefault="00701589" w:rsidP="00701589">
      <w:pPr>
        <w:jc w:val="both"/>
        <w:rPr>
          <w:rFonts w:asciiTheme="majorBidi" w:hAnsiTheme="majorBidi" w:cstheme="majorBidi"/>
        </w:rPr>
      </w:pPr>
      <w:r w:rsidRPr="00701589">
        <w:rPr>
          <w:rFonts w:asciiTheme="majorBidi" w:hAnsiTheme="majorBidi" w:cstheme="majorBidi"/>
          <w:b/>
          <w:bCs/>
        </w:rPr>
        <w:t xml:space="preserve">Exercice </w:t>
      </w:r>
      <w:r>
        <w:rPr>
          <w:rFonts w:asciiTheme="majorBidi" w:hAnsiTheme="majorBidi" w:cstheme="majorBidi"/>
          <w:b/>
          <w:bCs/>
        </w:rPr>
        <w:t>4</w:t>
      </w:r>
      <w:r w:rsidRPr="00701589">
        <w:rPr>
          <w:rFonts w:asciiTheme="majorBidi" w:hAnsiTheme="majorBidi" w:cstheme="majorBidi"/>
        </w:rPr>
        <w:t> : 60 patients ont été réparties aléatoirement en 3 groupes, pour participer à une épreuve d’analgésie. Les trois groupes ont reçu respectivement de l’</w:t>
      </w:r>
      <w:proofErr w:type="spellStart"/>
      <w:r w:rsidRPr="00701589">
        <w:rPr>
          <w:rFonts w:asciiTheme="majorBidi" w:hAnsiTheme="majorBidi" w:cstheme="majorBidi"/>
        </w:rPr>
        <w:t>oxycodone</w:t>
      </w:r>
      <w:proofErr w:type="spellEnd"/>
      <w:r w:rsidRPr="00701589">
        <w:rPr>
          <w:rFonts w:asciiTheme="majorBidi" w:hAnsiTheme="majorBidi" w:cstheme="majorBidi"/>
        </w:rPr>
        <w:t>, la morphine et la diamorphine. Au cours des 5 prochains jours, la posologie est ajustée pour ce qui est considéré l'optimum pour chaque patient. Les patients ont ensuite marqué leur douleur sur une échelle «visuelle analogique». Cela consiste en une ligne sur un morceau de papier. Une extrémité de la ligne est étiqueté «aucune douleur» et l'autre «douleur sévère». Le patient fait alors une marque de crayon sur la ligne à un point indiquant leur impression de leur douleur. L'échelle est de 10 cm de long et la distance est mesurée au millimètre le plus proche, ce qui donne des scores potentiels de zéro à 100. Les résultats des scores de douleur avec trois analgésiques différents sont présentés dans le Tableau ci-après. Effectuez un test statistique adéquat sur ces données.</w:t>
      </w:r>
    </w:p>
    <w:p w:rsidR="00701589" w:rsidRPr="00701589" w:rsidRDefault="00701589" w:rsidP="00701589">
      <w:pPr>
        <w:jc w:val="both"/>
        <w:rPr>
          <w:rFonts w:asciiTheme="majorBidi" w:hAnsiTheme="majorBidi" w:cstheme="majorBidi"/>
        </w:rPr>
      </w:pPr>
    </w:p>
    <w:tbl>
      <w:tblPr>
        <w:tblStyle w:val="Grilledutableau"/>
        <w:tblW w:w="0" w:type="auto"/>
        <w:tblLook w:val="04A0" w:firstRow="1" w:lastRow="0" w:firstColumn="1" w:lastColumn="0" w:noHBand="0" w:noVBand="1"/>
      </w:tblPr>
      <w:tblGrid>
        <w:gridCol w:w="1444"/>
        <w:gridCol w:w="450"/>
        <w:gridCol w:w="450"/>
        <w:gridCol w:w="450"/>
        <w:gridCol w:w="450"/>
        <w:gridCol w:w="450"/>
        <w:gridCol w:w="450"/>
        <w:gridCol w:w="450"/>
        <w:gridCol w:w="450"/>
        <w:gridCol w:w="451"/>
        <w:gridCol w:w="451"/>
        <w:gridCol w:w="451"/>
        <w:gridCol w:w="451"/>
        <w:gridCol w:w="451"/>
        <w:gridCol w:w="451"/>
        <w:gridCol w:w="451"/>
        <w:gridCol w:w="451"/>
        <w:gridCol w:w="451"/>
        <w:gridCol w:w="451"/>
        <w:gridCol w:w="451"/>
        <w:gridCol w:w="451"/>
      </w:tblGrid>
      <w:tr w:rsidR="00701589" w:rsidRPr="00701589" w:rsidTr="0051091E">
        <w:tc>
          <w:tcPr>
            <w:tcW w:w="1489" w:type="dxa"/>
          </w:tcPr>
          <w:p w:rsidR="00701589" w:rsidRPr="00701589" w:rsidRDefault="00701589" w:rsidP="0051091E">
            <w:pPr>
              <w:rPr>
                <w:rFonts w:asciiTheme="majorBidi" w:hAnsiTheme="majorBidi" w:cstheme="majorBidi"/>
                <w:sz w:val="22"/>
                <w:szCs w:val="22"/>
              </w:rPr>
            </w:pPr>
            <w:proofErr w:type="spellStart"/>
            <w:r w:rsidRPr="00701589">
              <w:rPr>
                <w:rFonts w:asciiTheme="majorBidi" w:hAnsiTheme="majorBidi" w:cstheme="majorBidi"/>
                <w:sz w:val="22"/>
                <w:szCs w:val="22"/>
              </w:rPr>
              <w:t>Oxycodon</w:t>
            </w:r>
            <w:proofErr w:type="spellEnd"/>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64</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21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12</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20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69</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38</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9</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74</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79</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17</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32</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51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72</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64</w:t>
            </w:r>
          </w:p>
        </w:tc>
      </w:tr>
      <w:tr w:rsidR="00701589" w:rsidRPr="00701589" w:rsidTr="0051091E">
        <w:tc>
          <w:tcPr>
            <w:tcW w:w="1489"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Morphine</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62</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50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76</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51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45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35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54</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31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49</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19</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55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80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62</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31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80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41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19</w:t>
            </w:r>
          </w:p>
        </w:tc>
      </w:tr>
      <w:tr w:rsidR="00701589" w:rsidRPr="00701589" w:rsidTr="0051091E">
        <w:tc>
          <w:tcPr>
            <w:tcW w:w="1489"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Diamorphine</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23</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42</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30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71</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65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35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20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25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45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9</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47</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6</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14</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15</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17</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20</w:t>
            </w:r>
          </w:p>
        </w:tc>
        <w:tc>
          <w:tcPr>
            <w:tcW w:w="460" w:type="dxa"/>
          </w:tcPr>
          <w:p w:rsidR="00701589" w:rsidRPr="00701589" w:rsidRDefault="00701589" w:rsidP="0051091E">
            <w:pPr>
              <w:rPr>
                <w:rFonts w:asciiTheme="majorBidi" w:hAnsiTheme="majorBidi" w:cstheme="majorBidi"/>
                <w:sz w:val="22"/>
                <w:szCs w:val="22"/>
              </w:rPr>
            </w:pPr>
            <w:r w:rsidRPr="00701589">
              <w:rPr>
                <w:rFonts w:asciiTheme="majorBidi" w:hAnsiTheme="majorBidi" w:cstheme="majorBidi"/>
                <w:sz w:val="22"/>
                <w:szCs w:val="22"/>
              </w:rPr>
              <w:t>25</w:t>
            </w:r>
          </w:p>
        </w:tc>
      </w:tr>
    </w:tbl>
    <w:p w:rsidR="00701589" w:rsidRPr="00701589" w:rsidRDefault="00701589" w:rsidP="00701589">
      <w:pPr>
        <w:rPr>
          <w:rFonts w:asciiTheme="majorBidi" w:hAnsiTheme="majorBidi" w:cstheme="majorBidi"/>
        </w:rPr>
      </w:pPr>
    </w:p>
    <w:p w:rsidR="00701589" w:rsidRPr="00701589" w:rsidRDefault="00701589" w:rsidP="00701589">
      <w:pPr>
        <w:rPr>
          <w:rFonts w:asciiTheme="majorBidi" w:hAnsiTheme="majorBidi" w:cstheme="majorBidi"/>
        </w:rPr>
      </w:pPr>
    </w:p>
    <w:p w:rsidR="00701589" w:rsidRPr="00701589" w:rsidRDefault="00701589" w:rsidP="00701589">
      <w:pPr>
        <w:jc w:val="both"/>
        <w:rPr>
          <w:rFonts w:asciiTheme="majorBidi" w:hAnsiTheme="majorBidi" w:cstheme="majorBidi"/>
        </w:rPr>
      </w:pPr>
    </w:p>
    <w:p w:rsidR="00701589" w:rsidRPr="00701589" w:rsidRDefault="00701589" w:rsidP="00701589">
      <w:pPr>
        <w:jc w:val="center"/>
        <w:rPr>
          <w:rFonts w:asciiTheme="majorBidi" w:hAnsiTheme="majorBidi" w:cstheme="majorBidi"/>
        </w:rPr>
      </w:pPr>
    </w:p>
    <w:p w:rsidR="00701589" w:rsidRPr="00701589" w:rsidRDefault="00701589" w:rsidP="00701589">
      <w:pPr>
        <w:jc w:val="both"/>
        <w:rPr>
          <w:rFonts w:asciiTheme="majorBidi" w:hAnsiTheme="majorBidi" w:cstheme="majorBidi"/>
        </w:rPr>
      </w:pPr>
    </w:p>
    <w:p w:rsidR="00701589" w:rsidRPr="00701589" w:rsidRDefault="00701589" w:rsidP="00701589">
      <w:pPr>
        <w:jc w:val="both"/>
        <w:rPr>
          <w:rFonts w:asciiTheme="majorBidi" w:hAnsiTheme="majorBidi" w:cstheme="majorBidi"/>
        </w:rPr>
      </w:pPr>
      <w:r w:rsidRPr="00701589">
        <w:rPr>
          <w:rFonts w:asciiTheme="majorBidi" w:hAnsiTheme="majorBidi" w:cstheme="majorBidi"/>
          <w:b/>
          <w:bCs/>
        </w:rPr>
        <w:t xml:space="preserve">Exercice </w:t>
      </w:r>
      <w:r>
        <w:rPr>
          <w:rFonts w:asciiTheme="majorBidi" w:hAnsiTheme="majorBidi" w:cstheme="majorBidi"/>
        </w:rPr>
        <w:t>5</w:t>
      </w:r>
      <w:r w:rsidRPr="00701589">
        <w:rPr>
          <w:rFonts w:asciiTheme="majorBidi" w:hAnsiTheme="majorBidi" w:cstheme="majorBidi"/>
        </w:rPr>
        <w:t xml:space="preserve">. </w:t>
      </w:r>
      <w:r w:rsidRPr="00701589">
        <w:rPr>
          <w:rFonts w:asciiTheme="majorBidi" w:hAnsiTheme="majorBidi" w:cstheme="majorBidi"/>
        </w:rPr>
        <w:t xml:space="preserve">9 patients atteints d'un cancer de la prostate n'avaient présenté aucun signe clinique de maladie 10 ans après une </w:t>
      </w:r>
      <w:proofErr w:type="spellStart"/>
      <w:r w:rsidRPr="00701589">
        <w:rPr>
          <w:rFonts w:asciiTheme="majorBidi" w:hAnsiTheme="majorBidi" w:cstheme="majorBidi"/>
        </w:rPr>
        <w:t>lymphadénectomie</w:t>
      </w:r>
      <w:proofErr w:type="spellEnd"/>
      <w:r w:rsidRPr="00701589">
        <w:rPr>
          <w:rFonts w:asciiTheme="majorBidi" w:hAnsiTheme="majorBidi" w:cstheme="majorBidi"/>
        </w:rPr>
        <w:t xml:space="preserve"> pelvienne de stade négatif et une radiothérapie définitive. Les taux d'antigènes spécifiques de la prostate ont ensuite été mesurés à trois intervalles successifs d'environ un an d'intervalle. Les données étaient les suivantes :</w:t>
      </w:r>
    </w:p>
    <w:p w:rsidR="00701589" w:rsidRPr="00701589" w:rsidRDefault="00701589" w:rsidP="00701589">
      <w:pPr>
        <w:rPr>
          <w:rFonts w:asciiTheme="majorBidi" w:hAnsiTheme="majorBidi" w:cstheme="majorBidi"/>
        </w:rPr>
      </w:pPr>
    </w:p>
    <w:p w:rsidR="00701589" w:rsidRPr="00701589" w:rsidRDefault="00701589" w:rsidP="00701589">
      <w:pPr>
        <w:rPr>
          <w:rFonts w:asciiTheme="majorBidi" w:hAnsiTheme="majorBidi" w:cstheme="majorBidi"/>
        </w:rPr>
      </w:pPr>
      <w:r w:rsidRPr="00701589">
        <w:rPr>
          <w:rFonts w:asciiTheme="majorBidi" w:hAnsiTheme="majorBidi" w:cstheme="majorBidi"/>
          <w:noProof/>
        </w:rPr>
        <w:drawing>
          <wp:inline distT="0" distB="0" distL="0" distR="0" wp14:anchorId="438B2D92" wp14:editId="4D6010CE">
            <wp:extent cx="6645910" cy="2379521"/>
            <wp:effectExtent l="0" t="0" r="254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2379521"/>
                    </a:xfrm>
                    <a:prstGeom prst="rect">
                      <a:avLst/>
                    </a:prstGeom>
                    <a:noFill/>
                    <a:ln>
                      <a:noFill/>
                    </a:ln>
                  </pic:spPr>
                </pic:pic>
              </a:graphicData>
            </a:graphic>
          </wp:inline>
        </w:drawing>
      </w:r>
    </w:p>
    <w:p w:rsidR="00573999" w:rsidRPr="00701589" w:rsidRDefault="00573999">
      <w:pPr>
        <w:rPr>
          <w:rFonts w:asciiTheme="majorBidi" w:hAnsiTheme="majorBidi" w:cstheme="majorBidi"/>
        </w:rPr>
      </w:pPr>
      <w:bookmarkStart w:id="0" w:name="_GoBack"/>
      <w:bookmarkEnd w:id="0"/>
    </w:p>
    <w:sectPr w:rsidR="00573999" w:rsidRPr="00701589" w:rsidSect="00D928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589"/>
    <w:rsid w:val="00573999"/>
    <w:rsid w:val="00701589"/>
    <w:rsid w:val="009C72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A8277-A28D-43A8-83CE-FE352AEC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589"/>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01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540</Words>
  <Characters>2975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2025-10-07T09:09:00Z</dcterms:created>
  <dcterms:modified xsi:type="dcterms:W3CDTF">2025-10-07T09:32:00Z</dcterms:modified>
</cp:coreProperties>
</file>