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w:t>
      </w:r>
    </w:p>
    <w:p>
      <w:pPr>
        <w:pStyle w:val="Subtitle"/>
      </w:pPr>
      <w:r>
        <w:t>Conception d’un site d’information sur la ville intelligente : technologies, cas d’usage et apports pour l’urbanisation des villes camerounaises</w:t>
      </w:r>
    </w:p>
    <w:p>
      <w:r>
        <w:t>Auteur : BOUBAKARI SADOU  |  Réalisation : HTML, CSS, JavaScript  |  Version : 1.0</w:t>
      </w:r>
    </w:p>
    <w:p>
      <w:pPr>
        <w:pStyle w:val="Heading1"/>
      </w:pPr>
      <w:r>
        <w:t>1. Contexte et justification</w:t>
      </w:r>
    </w:p>
    <w:p>
      <w:r>
        <w:t>La croissance urbaine pose des enjeux de mobilité, d’assainissement, d’énergie, de gestion de l’eau et d’accès à l’information. Le site vise à expliquer comment des outils numériques peuvent contribuer à des réponses adaptées au contexte camerounais.</w:t>
      </w:r>
    </w:p>
    <w:p>
      <w:pPr>
        <w:pStyle w:val="Heading1"/>
      </w:pPr>
      <w:r>
        <w:t>2. Objectif général</w:t>
      </w:r>
    </w:p>
    <w:p>
      <w:r>
        <w:t>Concevoir un portail pédagogique accessible, interactif et consultable hors connexion présentant les technologies de ville intelligente, des cas d’usage et leurs apports possibles pour les villes camerounaises.</w:t>
      </w:r>
    </w:p>
    <w:p>
      <w:pPr>
        <w:pStyle w:val="Heading1"/>
      </w:pPr>
      <w:r>
        <w:t>3. Objectifs spécifiques</w:t>
      </w:r>
    </w:p>
    <w:p>
      <w:r>
        <w:t>• Expliquer six familles de technologies.</w:t>
        <w:br/>
        <w:t>• Présenter des scénarios de mobilité, énergie, déchets et eau.</w:t>
        <w:br/>
        <w:t>• Contextualiser les enjeux à Yaoundé, Douala, Garoua et Maroua.</w:t>
        <w:br/>
        <w:t>• Sensibiliser aux avantages et aux limites.</w:t>
        <w:br/>
        <w:t>• Proposer une simulation interactive et un moyen de contact.</w:t>
      </w:r>
    </w:p>
    <w:p>
      <w:pPr>
        <w:pStyle w:val="Heading1"/>
      </w:pPr>
      <w:r>
        <w:t>4. Public cible</w:t>
      </w:r>
    </w:p>
    <w:p>
      <w:r>
        <w:t>Étudiants en urbanisme et domotique, enseignants, collectivités territoriales, associations citoyennes, porteurs de projets et grand public francophone.</w:t>
      </w:r>
    </w:p>
    <w:p>
      <w:pPr>
        <w:pStyle w:val="Heading1"/>
      </w:pPr>
      <w:r>
        <w:t>5. Arborescence et contenus cliquables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Page</w:t>
            </w:r>
          </w:p>
        </w:tc>
        <w:tc>
          <w:tcPr>
            <w:tcW w:type="dxa" w:w="2880"/>
          </w:tcPr>
          <w:p>
            <w:r>
              <w:t>Fichier</w:t>
            </w:r>
          </w:p>
        </w:tc>
        <w:tc>
          <w:tcPr>
            <w:tcW w:type="dxa" w:w="2880"/>
          </w:tcPr>
          <w:p>
            <w:r>
              <w:t>Contenu / action</w:t>
            </w:r>
          </w:p>
        </w:tc>
      </w:tr>
      <w:tr>
        <w:tc>
          <w:tcPr>
            <w:tcW w:type="dxa" w:w="2880"/>
          </w:tcPr>
          <w:p>
            <w:r>
              <w:t>Accueil</w:t>
            </w:r>
          </w:p>
        </w:tc>
        <w:tc>
          <w:tcPr>
            <w:tcW w:type="dxa" w:w="2880"/>
          </w:tcPr>
          <w:p>
            <w:r>
              <w:t>index.html</w:t>
            </w:r>
          </w:p>
        </w:tc>
        <w:tc>
          <w:tcPr>
            <w:tcW w:type="dxa" w:w="2880"/>
          </w:tcPr>
          <w:p>
            <w:r>
              <w:t>Présentation et accès direct aux rubriques</w:t>
            </w:r>
          </w:p>
        </w:tc>
      </w:tr>
      <w:tr>
        <w:tc>
          <w:tcPr>
            <w:tcW w:type="dxa" w:w="2880"/>
          </w:tcPr>
          <w:p>
            <w:r>
              <w:t>Technologies</w:t>
            </w:r>
          </w:p>
        </w:tc>
        <w:tc>
          <w:tcPr>
            <w:tcW w:type="dxa" w:w="2880"/>
          </w:tcPr>
          <w:p>
            <w:r>
              <w:t>technologies.html</w:t>
            </w:r>
          </w:p>
        </w:tc>
        <w:tc>
          <w:tcPr>
            <w:tcW w:type="dxa" w:w="2880"/>
          </w:tcPr>
          <w:p>
            <w:r>
              <w:t>IoT, SIG, données, énergie, applications</w:t>
            </w:r>
          </w:p>
        </w:tc>
      </w:tr>
      <w:tr>
        <w:tc>
          <w:tcPr>
            <w:tcW w:type="dxa" w:w="2880"/>
          </w:tcPr>
          <w:p>
            <w:r>
              <w:t>Cas d’usage</w:t>
            </w:r>
          </w:p>
        </w:tc>
        <w:tc>
          <w:tcPr>
            <w:tcW w:type="dxa" w:w="2880"/>
          </w:tcPr>
          <w:p>
            <w:r>
              <w:t>cas-usage.html</w:t>
            </w:r>
          </w:p>
        </w:tc>
        <w:tc>
          <w:tcPr>
            <w:tcW w:type="dxa" w:w="2880"/>
          </w:tcPr>
          <w:p>
            <w:r>
              <w:t>Onglets interactifs et simulation</w:t>
            </w:r>
          </w:p>
        </w:tc>
      </w:tr>
      <w:tr>
        <w:tc>
          <w:tcPr>
            <w:tcW w:type="dxa" w:w="2880"/>
          </w:tcPr>
          <w:p>
            <w:r>
              <w:t>Villes camerounaises</w:t>
            </w:r>
          </w:p>
        </w:tc>
        <w:tc>
          <w:tcPr>
            <w:tcW w:type="dxa" w:w="2880"/>
          </w:tcPr>
          <w:p>
            <w:r>
              <w:t>villes.html</w:t>
            </w:r>
          </w:p>
        </w:tc>
        <w:tc>
          <w:tcPr>
            <w:tcW w:type="dxa" w:w="2880"/>
          </w:tcPr>
          <w:p>
            <w:r>
              <w:t>Yaoundé, Douala, Garoua, Maroua</w:t>
            </w:r>
          </w:p>
        </w:tc>
      </w:tr>
      <w:tr>
        <w:tc>
          <w:tcPr>
            <w:tcW w:type="dxa" w:w="2880"/>
          </w:tcPr>
          <w:p>
            <w:r>
              <w:t>Apports &amp; défis</w:t>
            </w:r>
          </w:p>
        </w:tc>
        <w:tc>
          <w:tcPr>
            <w:tcW w:type="dxa" w:w="2880"/>
          </w:tcPr>
          <w:p>
            <w:r>
              <w:t>benefices.html</w:t>
            </w:r>
          </w:p>
        </w:tc>
        <w:tc>
          <w:tcPr>
            <w:tcW w:type="dxa" w:w="2880"/>
          </w:tcPr>
          <w:p>
            <w:r>
              <w:t>Bénéfices, contraintes et recommandations</w:t>
            </w:r>
          </w:p>
        </w:tc>
      </w:tr>
      <w:tr>
        <w:tc>
          <w:tcPr>
            <w:tcW w:type="dxa" w:w="2880"/>
          </w:tcPr>
          <w:p>
            <w:r>
              <w:t>Contact</w:t>
            </w:r>
          </w:p>
        </w:tc>
        <w:tc>
          <w:tcPr>
            <w:tcW w:type="dxa" w:w="2880"/>
          </w:tcPr>
          <w:p>
            <w:r>
              <w:t>contact.html</w:t>
            </w:r>
          </w:p>
        </w:tc>
        <w:tc>
          <w:tcPr>
            <w:tcW w:type="dxa" w:w="2880"/>
          </w:tcPr>
          <w:p>
            <w:r>
              <w:t>Formulaire ouvrant la messagerie</w:t>
            </w:r>
          </w:p>
        </w:tc>
      </w:tr>
    </w:tbl>
    <w:p>
      <w:pPr>
        <w:pStyle w:val="Heading1"/>
      </w:pPr>
      <w:r>
        <w:t>6. Parcours de navigation</w:t>
      </w:r>
    </w:p>
    <w:p>
      <w:r>
        <w:t>Depuis le menu supérieur, l’utilisateur clique sur le nom d’une rubrique pour accéder à sa page. Sur l’accueil, les cartes « En savoir plus » conduisent aux pages concernées. Le logo renvoie à l’accueil. Le menu mobile s’ouvre avec le bouton « Menu ».</w:t>
      </w:r>
    </w:p>
    <w:p>
      <w:pPr>
        <w:pStyle w:val="Heading1"/>
      </w:pPr>
      <w:r>
        <w:t>7. Exigences fonctionnelles</w:t>
      </w:r>
    </w:p>
    <w:p>
      <w:r>
        <w:t>Six pages reliées par des liens internes ; navigation responsive ; onglets de cas d’usage ; simulation locale d’éclairage et d’alerte ; formulaire avec validation HTML et ouverture du client e-mail ; affichage cohérent sur mobile et ordinateur.</w:t>
      </w:r>
    </w:p>
    <w:p>
      <w:pPr>
        <w:pStyle w:val="Heading1"/>
      </w:pPr>
      <w:r>
        <w:t>8. Exigences non fonctionnelles</w:t>
      </w:r>
    </w:p>
    <w:p>
      <w:r>
        <w:t>Utilisation sans Internet après extraction ; HTML sémantique ; styles CSS partagés ; JavaScript sans dépendance ; interface lisible ; compatibilité avec navigateurs récents ; absence de base de données et de collecte côté serveur.</w:t>
      </w:r>
    </w:p>
    <w:p>
      <w:pPr>
        <w:pStyle w:val="Heading1"/>
      </w:pPr>
      <w:r>
        <w:t>9. Choix techniques et limites</w:t>
      </w:r>
    </w:p>
    <w:p>
      <w:r>
        <w:t>Technologies : HTML5, CSS3 et JavaScript natif. Le site est informatif, les scénarios sont conceptuels, la simulation ne commande aucun équipement réel et le formulaire n’envoie pas de message sans application e-mail configurée. L’adresse de contact est illustrative.</w:t>
      </w:r>
    </w:p>
    <w:p>
      <w:pPr>
        <w:pStyle w:val="Heading1"/>
      </w:pPr>
      <w:r>
        <w:t>10. Critères de recette</w:t>
      </w:r>
    </w:p>
    <w:p>
      <w:r>
        <w:t>Ouvrir index.html ; vérifier les six liens du menu ; tester les boutons de l’accueil ; activer chaque onglet ; tester les deux commandes de simulation ; vérifier les champs obligatoires du formulaire ; tester la mise en page sur écran étroit.</w:t>
      </w:r>
    </w:p>
    <w:p>
      <w:pPr>
        <w:pStyle w:val="Heading1"/>
      </w:pPr>
      <w:r>
        <w:t>11. Livrables</w:t>
      </w:r>
    </w:p>
    <w:p>
      <w:r>
        <w:t>Dossier site (6 pages et assets), cahier des charges Word, maquette HTML, guide d’utilisation Word et plan de soutenance.</w:t>
      </w:r>
    </w:p>
    <w:p>
      <w:pPr>
        <w:pStyle w:val="Heading1"/>
      </w:pPr>
      <w:r>
        <w:t>Illustrations intégrées et répartition des contenus</w:t>
      </w:r>
    </w:p>
    <w:p>
      <w:r>
        <w:t>Le site comprend cinq illustrations commentées : maison connectée, écran de commande domotique, sécurité des accès, connexion satellitaire et pilotage énergétique. Les images sont réparties entre Accueil, Technologies, Cas d’usage, Villes camerounaises et Apports et défis. Chaque image est accompagnée d’un titre, d’un texte explicatif et d’une description alternative pour l’accessibilité. Les illustrations montrent des exemples technologiques ; elles ne prouvent pas un déploiement effectif dans une ville camerounaise.</w:t>
      </w:r>
    </w:p>
    <w:p>
      <w:pPr>
        <w:pStyle w:val="Heading2"/>
      </w:pPr>
      <w:r>
        <w:t>Navigation et nombre de pages</w:t>
      </w:r>
    </w:p>
    <w:p>
      <w:r>
        <w:t>Le site comprend 6 pages : Accueil (1/6), Technologies (2/6), Cas d’usage (3/6), Villes camerounaises (4/6), Apports et défis (5/6) et Contact (6/6).</w:t>
      </w:r>
    </w:p>
    <w:p>
      <w:r>
        <w:t>À la fin de chacune des six pages, un compteur « Page X sur 6 » et un bouton « ← Retour à l’accueil » permettent de retrouver immédiatement la page principale. Le menu supérieur reste également disponible.</w:t>
      </w:r>
    </w:p>
    <w:p>
      <w:pPr>
        <w:pStyle w:val="Heading1"/>
      </w:pPr>
      <w:r>
        <w:t>Mise à jour : simulation interactive</w:t>
      </w:r>
    </w:p>
    <w:p>
      <w:r>
        <w:t>Dans la page « Cas d’usage », la démonstration comporte une lampe virtuelle qui s’illumine lorsque l’on clique sur « Basculer l’éclairage », ainsi qu’une sirène rouge virtuelle qui clignote et émet un son synthétisé lorsque l’on clique sur « Basculer l’alerte ». Un second clic désactive chaque fonction. Le navigateur doit autoriser le son ; le volume de l’ordinateur doit être activé. Les équipements sont simulés à l’écran, sans commande d’appareils physiques ni connexion Internet.</w:t>
      </w:r>
    </w:p>
    <w:p>
      <w:pPr>
        <w:pStyle w:val="Heading1"/>
      </w:pPr>
      <w:r>
        <w:t>Extension : laboratoire domotique interactif</w:t>
      </w:r>
    </w:p>
    <w:p>
      <w:r>
        <w:t>La page « Cas d’usage » comprend trois nouvelles simulations : (1) une porte animée pilotable par les commandes vocales « SADOU ouvre la porte » et « SADOU ferme toi », avec boutons manuels de secours ; (2) des fenêtres animées avec boutons Ouvrir et Fermer ; (3) une télévision virtuelle affichant « BIENVENUE SADOU » à l’allumage.</w:t>
      </w:r>
    </w:p>
    <w:p>
      <w:r>
        <w:t>Pour la reconnaissance vocale, utiliser de préférence Chrome ou Edge, autoriser le microphone et prévoir une connexion Internet selon le moteur vocal du navigateur. L’ouverture directe en fichier local peut limiter le microphone : servir le site sur localhost ou HTTPS si nécessaire. Les simulations visuelles fonctionnent hors ligne et ne pilotent aucun appareil physique.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SMARTCITIES CM  |  PROJET WEB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