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A5276"/>
          <w:sz w:val="36"/>
          <w:szCs w:val="36"/>
        </w:rPr>
        <w:t xml:space="preserve">AFRICAN ANSP PEER REVIEW PROGRAMME</w:t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color w:val="7F8C8D"/>
          <w:sz w:val="24"/>
          <w:szCs w:val="24"/>
        </w:rPr>
        <w:t xml:space="preserve">Programme africain d’évaluation par les pairs des ANSP</w:t>
      </w:r>
    </w:p>
    <w:p>
      <w:pPr>
        <w:spacing w:before="4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54360"/>
          <w:sz w:val="44"/>
          <w:szCs w:val="44"/>
        </w:rPr>
        <w:t xml:space="preserve">SMS MATURITY ASSESSMENT SCORING SHEET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2980B9"/>
          <w:sz w:val="28"/>
          <w:szCs w:val="28"/>
        </w:rPr>
        <w:t xml:space="preserve">Fiche d'évaluation de la maturité du SGS</w:t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F8C8D"/>
                <w:sz w:val="20"/>
                <w:szCs w:val="20"/>
              </w:rPr>
              <w:t xml:space="preserve">Document Reference: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AAPRP-SMS-MASS-2026-01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F8C8D"/>
                <w:sz w:val="20"/>
                <w:szCs w:val="20"/>
              </w:rPr>
              <w:t xml:space="preserve">Version: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3.0 (March 2026 Edition)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F8C8D"/>
                <w:sz w:val="20"/>
                <w:szCs w:val="20"/>
              </w:rPr>
              <w:t xml:space="preserve">Effective Date: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F8C8D"/>
                <w:sz w:val="20"/>
                <w:szCs w:val="20"/>
              </w:rPr>
              <w:t xml:space="preserve">Classification: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rFonts w:ascii="Calibri" w:cs="Calibri" w:eastAsia="Calibri" w:hAnsi="Calibri"/>
          <w:color w:val="7F8C8D"/>
          <w:sz w:val="20"/>
          <w:szCs w:val="20"/>
        </w:rPr>
        <w:t xml:space="preserve">Aligned with the Revised Abuja Safety Targets 2024</w:t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E67E22"/>
          <w:sz w:val="20"/>
          <w:szCs w:val="20"/>
        </w:rPr>
        <w:t xml:space="preserve">AST #15: ANSP Certification through Peer Review Programme</w:t>
      </w:r>
    </w:p>
    <w:p>
      <w:r>
        <w:br w:type="page"/>
      </w:r>
    </w:p>
    <w:p>
      <w:pPr>
        <w:pStyle w:val="Heading1"/>
      </w:pPr>
      <w:r>
        <w:t xml:space="preserve">Maturity Level Definitions</w:t>
      </w:r>
    </w:p>
    <w:p>
      <w:pPr>
        <w:spacing w:after="100"/>
      </w:pPr>
      <w:r>
        <w:rPr>
          <w:rFonts w:ascii="Calibri" w:cs="Calibri" w:eastAsia="Calibri" w:hAnsi="Calibri"/>
          <w:color w:val="7F8C8D"/>
          <w:sz w:val="22"/>
          <w:szCs w:val="22"/>
        </w:rPr>
        <w:t xml:space="preserve">Based on the CANSO Standard of Excellence in Safety Management Systems (2024 Edition), aligned with ICAO Annex 19 and Doc 9859.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Initial/Ad-hoc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formal processes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Planned/Documented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Processes defined but not consistently applied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Implemented/Compliant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ICAO compliance achieved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Managed/Controlled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Continuous monitoring and measurement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Optimizing/Leading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Industry-leading practices</w:t>
            </w:r>
          </w:p>
        </w:tc>
      </w:tr>
    </w:tbl>
    <w:p>
      <w:pPr>
        <w:pStyle w:val="Heading1"/>
      </w:pPr>
      <w:r>
        <w:t xml:space="preserve">Section 1: Review Identification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Reviewed ANSP:</w:t>
            </w:r>
          </w:p>
        </w:tc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Review Reference:</w:t>
            </w:r>
          </w:p>
        </w:tc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Assessment Date:</w:t>
            </w:r>
          </w:p>
        </w:tc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Assessor(s):</w:t>
            </w:r>
          </w:p>
        </w:tc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t xml:space="preserve">Section 2: Maturity Scoring Matrix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For each study area, mark (☑) the maturity level that best describes the reviewed ANSP's current state. Provide justification in Section 3.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1124"/>
        <w:gridCol w:w="1124"/>
        <w:gridCol w:w="1124"/>
        <w:gridCol w:w="1124"/>
        <w:gridCol w:w="1120"/>
      </w:tblGrid>
      <w:tr>
        <w:tc>
          <w:tcPr>
            <w:tcW w:type="dxa" w:w="374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Study Area</w:t>
            </w:r>
          </w:p>
        </w:tc>
        <w:tc>
          <w:tcPr>
            <w:tcW w:type="dxa" w:w="11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11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11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11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W w:type="dxa" w:w="1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</w:t>
            </w:r>
          </w:p>
        </w:tc>
      </w:tr>
      <w:tr>
        <w:tc>
          <w:tcPr>
            <w:tcW w:type="dxa" w:w="3744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20"/>
                <w:szCs w:val="20"/>
              </w:rPr>
              <w:t xml:space="preserve">1. Safety Policy &amp; Objectives</w:t>
            </w:r>
          </w:p>
        </w:tc>
        <w:tc>
          <w:tcPr>
            <w:tcW w:type="dxa" w:w="11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1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1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1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4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1.1 Safety Management Responsibilities and Accountabilities</w:t>
            </w:r>
          </w:p>
        </w:tc>
        <w:tc>
          <w:tcPr>
            <w:tcW w:type="dxa" w:w="11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  <w:tc>
          <w:tcPr>
            <w:tcW w:type="dxa" w:w="11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  <w:tc>
          <w:tcPr>
            <w:tcW w:type="dxa" w:w="11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  <w:tc>
          <w:tcPr>
            <w:tcW w:type="dxa" w:w="11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  <w:tc>
          <w:tcPr>
            <w:tcW w:type="dxa" w:w="1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374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1.2 Safety Reporting Policy</w:t>
            </w:r>
          </w:p>
        </w:tc>
        <w:tc>
          <w:tcPr>
            <w:tcW w:type="dxa" w:w="11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  <w:tc>
          <w:tcPr>
            <w:tcW w:type="dxa" w:w="11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  <w:tc>
          <w:tcPr>
            <w:tcW w:type="dxa" w:w="11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  <w:tc>
          <w:tcPr>
            <w:tcW w:type="dxa" w:w="11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  <w:tc>
          <w:tcPr>
            <w:tcW w:type="dxa" w:w="1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374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1.3 Safety Objectives and Goals</w:t>
            </w:r>
          </w:p>
        </w:tc>
        <w:tc>
          <w:tcPr>
            <w:tcW w:type="dxa" w:w="11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  <w:tc>
          <w:tcPr>
            <w:tcW w:type="dxa" w:w="11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  <w:tc>
          <w:tcPr>
            <w:tcW w:type="dxa" w:w="11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  <w:tc>
          <w:tcPr>
            <w:tcW w:type="dxa" w:w="11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  <w:tc>
          <w:tcPr>
            <w:tcW w:type="dxa" w:w="1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3744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20"/>
                <w:szCs w:val="20"/>
              </w:rPr>
              <w:t xml:space="preserve">2. Safety Risk Management</w:t>
            </w:r>
          </w:p>
        </w:tc>
        <w:tc>
          <w:tcPr>
            <w:tcW w:type="dxa" w:w="11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1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1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1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4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2.1 Hazard Identification</w:t>
            </w:r>
          </w:p>
        </w:tc>
        <w:tc>
          <w:tcPr>
            <w:tcW w:type="dxa" w:w="11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  <w:tc>
          <w:tcPr>
            <w:tcW w:type="dxa" w:w="11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  <w:tc>
          <w:tcPr>
            <w:tcW w:type="dxa" w:w="11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  <w:tc>
          <w:tcPr>
            <w:tcW w:type="dxa" w:w="11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  <w:tc>
          <w:tcPr>
            <w:tcW w:type="dxa" w:w="1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374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2.2 Risk Assessment and Mitigation</w:t>
            </w:r>
          </w:p>
        </w:tc>
        <w:tc>
          <w:tcPr>
            <w:tcW w:type="dxa" w:w="11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  <w:tc>
          <w:tcPr>
            <w:tcW w:type="dxa" w:w="11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  <w:tc>
          <w:tcPr>
            <w:tcW w:type="dxa" w:w="11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  <w:tc>
          <w:tcPr>
            <w:tcW w:type="dxa" w:w="11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  <w:tc>
          <w:tcPr>
            <w:tcW w:type="dxa" w:w="1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374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2.3 Management of Change</w:t>
            </w:r>
          </w:p>
        </w:tc>
        <w:tc>
          <w:tcPr>
            <w:tcW w:type="dxa" w:w="11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  <w:tc>
          <w:tcPr>
            <w:tcW w:type="dxa" w:w="11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  <w:tc>
          <w:tcPr>
            <w:tcW w:type="dxa" w:w="11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  <w:tc>
          <w:tcPr>
            <w:tcW w:type="dxa" w:w="11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  <w:tc>
          <w:tcPr>
            <w:tcW w:type="dxa" w:w="1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3744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20"/>
                <w:szCs w:val="20"/>
              </w:rPr>
              <w:t xml:space="preserve">3. Safety Assurance</w:t>
            </w:r>
          </w:p>
        </w:tc>
        <w:tc>
          <w:tcPr>
            <w:tcW w:type="dxa" w:w="11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1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1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1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4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3.1 Safety Performance Monitoring and Measurement</w:t>
            </w:r>
          </w:p>
        </w:tc>
        <w:tc>
          <w:tcPr>
            <w:tcW w:type="dxa" w:w="11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  <w:tc>
          <w:tcPr>
            <w:tcW w:type="dxa" w:w="11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  <w:tc>
          <w:tcPr>
            <w:tcW w:type="dxa" w:w="11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  <w:tc>
          <w:tcPr>
            <w:tcW w:type="dxa" w:w="11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  <w:tc>
          <w:tcPr>
            <w:tcW w:type="dxa" w:w="1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374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3.2 Safety Audits and Surveys</w:t>
            </w:r>
          </w:p>
        </w:tc>
        <w:tc>
          <w:tcPr>
            <w:tcW w:type="dxa" w:w="11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  <w:tc>
          <w:tcPr>
            <w:tcW w:type="dxa" w:w="11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  <w:tc>
          <w:tcPr>
            <w:tcW w:type="dxa" w:w="11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  <w:tc>
          <w:tcPr>
            <w:tcW w:type="dxa" w:w="11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  <w:tc>
          <w:tcPr>
            <w:tcW w:type="dxa" w:w="1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374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3.3 Safety Investigations and Occurrence Reporting</w:t>
            </w:r>
          </w:p>
        </w:tc>
        <w:tc>
          <w:tcPr>
            <w:tcW w:type="dxa" w:w="11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  <w:tc>
          <w:tcPr>
            <w:tcW w:type="dxa" w:w="11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  <w:tc>
          <w:tcPr>
            <w:tcW w:type="dxa" w:w="11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  <w:tc>
          <w:tcPr>
            <w:tcW w:type="dxa" w:w="11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  <w:tc>
          <w:tcPr>
            <w:tcW w:type="dxa" w:w="1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3744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20"/>
                <w:szCs w:val="20"/>
              </w:rPr>
              <w:t xml:space="preserve">4. Safety Promotion</w:t>
            </w:r>
          </w:p>
        </w:tc>
        <w:tc>
          <w:tcPr>
            <w:tcW w:type="dxa" w:w="11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1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1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1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4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4.1 Safety Training and Competency</w:t>
            </w:r>
          </w:p>
        </w:tc>
        <w:tc>
          <w:tcPr>
            <w:tcW w:type="dxa" w:w="11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  <w:tc>
          <w:tcPr>
            <w:tcW w:type="dxa" w:w="11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  <w:tc>
          <w:tcPr>
            <w:tcW w:type="dxa" w:w="11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  <w:tc>
          <w:tcPr>
            <w:tcW w:type="dxa" w:w="11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  <w:tc>
          <w:tcPr>
            <w:tcW w:type="dxa" w:w="1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374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4.2 Safety Communication</w:t>
            </w:r>
          </w:p>
        </w:tc>
        <w:tc>
          <w:tcPr>
            <w:tcW w:type="dxa" w:w="11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  <w:tc>
          <w:tcPr>
            <w:tcW w:type="dxa" w:w="11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  <w:tc>
          <w:tcPr>
            <w:tcW w:type="dxa" w:w="11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  <w:tc>
          <w:tcPr>
            <w:tcW w:type="dxa" w:w="11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  <w:tc>
          <w:tcPr>
            <w:tcW w:type="dxa" w:w="1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374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4.3 Sharing of Safety Lessons and Best Practices</w:t>
            </w:r>
          </w:p>
        </w:tc>
        <w:tc>
          <w:tcPr>
            <w:tcW w:type="dxa" w:w="11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  <w:tc>
          <w:tcPr>
            <w:tcW w:type="dxa" w:w="11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  <w:tc>
          <w:tcPr>
            <w:tcW w:type="dxa" w:w="11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  <w:tc>
          <w:tcPr>
            <w:tcW w:type="dxa" w:w="11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  <w:tc>
          <w:tcPr>
            <w:tcW w:type="dxa" w:w="1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374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4.4 Safety Culture</w:t>
            </w:r>
          </w:p>
        </w:tc>
        <w:tc>
          <w:tcPr>
            <w:tcW w:type="dxa" w:w="11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  <w:tc>
          <w:tcPr>
            <w:tcW w:type="dxa" w:w="11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  <w:tc>
          <w:tcPr>
            <w:tcW w:type="dxa" w:w="11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  <w:tc>
          <w:tcPr>
            <w:tcW w:type="dxa" w:w="11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  <w:tc>
          <w:tcPr>
            <w:tcW w:type="dxa" w:w="1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3: Justification and Evidence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For each study area scored, provide brief justification with evidence references.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5460"/>
      </w:tblGrid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Study Area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5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Justification / Evidence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t xml:space="preserve">Section 4: Summary and Recommendations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22"/>
                <w:szCs w:val="22"/>
              </w:rPr>
              <w:t xml:space="preserve">Overall SMS Maturity Assessment:</w:t>
            </w:r>
          </w:p>
          <w:p>
            <w:pPr>
              <w:spacing w:before="10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Level A (Initial)    ☐ Level B (Planned)    ☐ Level C (Implemented)    ☐ Level D (Managed)    ☐ Level E (Optimizing)</w:t>
            </w:r>
          </w:p>
          <w:p>
            <w:pPr>
              <w:spacing w:before="200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22"/>
                <w:szCs w:val="22"/>
              </w:rPr>
              <w:t xml:space="preserve">Key Strengths:</w:t>
            </w:r>
          </w:p>
          <w:p>
            <w:pPr>
              <w:spacing w:before="200" w:after="2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b/>
                <w:bCs/>
                <w:color w:val="1A5276"/>
                <w:sz w:val="22"/>
                <w:szCs w:val="22"/>
              </w:rPr>
              <w:t xml:space="preserve">Priority Areas for Improvement:</w:t>
            </w:r>
          </w:p>
          <w:p>
            <w:pPr>
              <w:spacing w:before="200" w:after="2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b/>
                <w:bCs/>
                <w:color w:val="1A5276"/>
                <w:sz w:val="22"/>
                <w:szCs w:val="22"/>
              </w:rPr>
              <w:t xml:space="preserve">Recommendations:</w:t>
            </w:r>
          </w:p>
          <w:p>
            <w:pPr>
              <w:spacing w:before="200" w:after="2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980B9" w:sz="1"/>
      </w:pBdr>
      <w:spacing w:before="0"/>
      <w:jc w:val="center"/>
    </w:pPr>
    <w:r>
      <w:rPr>
        <w:rFonts w:ascii="Calibri" w:cs="Calibri" w:eastAsia="Calibri" w:hAnsi="Calibri"/>
        <w:color w:val="C0392B"/>
        <w:sz w:val="14"/>
        <w:szCs w:val="14"/>
      </w:rPr>
      <w:t xml:space="preserve">CONFIDENTIAL – For Official Use Only  |  </w:t>
    </w:r>
    <w:r>
      <w:rPr>
        <w:rFonts w:ascii="Calibri" w:cs="Calibri" w:eastAsia="Calibri" w:hAnsi="Calibri"/>
        <w:color w:val="7F8C8D"/>
        <w:sz w:val="14"/>
        <w:szCs w:val="14"/>
      </w:rPr>
      <w:t xml:space="preserve">Page </w:t>
    </w:r>
    <w:r>
      <w:rPr>
        <w:rFonts w:ascii="Calibri" w:cs="Calibri" w:eastAsia="Calibri" w:hAnsi="Calibri"/>
        <w:color w:val="7F8C8D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980B9" w:sz="1"/>
      </w:pBdr>
      <w:spacing w:after="0"/>
      <w:jc w:val="center"/>
    </w:pPr>
    <w:r>
      <w:rPr>
        <w:rFonts w:ascii="Calibri" w:cs="Calibri" w:eastAsia="Calibri" w:hAnsi="Calibri"/>
        <w:b/>
        <w:bCs/>
        <w:color w:val="1A5276"/>
        <w:sz w:val="16"/>
        <w:szCs w:val="16"/>
      </w:rPr>
      <w:t xml:space="preserve">AFRICAN ANSP PEER REVIEW PROGRAMME</w:t>
    </w:r>
    <w:r>
      <w:rPr>
        <w:rFonts w:ascii="Calibri" w:cs="Calibri" w:eastAsia="Calibri" w:hAnsi="Calibri"/>
        <w:color w:val="7F8C8D"/>
        <w:sz w:val="16"/>
        <w:szCs w:val="16"/>
      </w:rPr>
      <w:t xml:space="preserve">  |  </w:t>
    </w:r>
    <w:r>
      <w:rPr>
        <w:rFonts w:ascii="Calibri" w:cs="Calibri" w:eastAsia="Calibri" w:hAnsi="Calibri"/>
        <w:i/>
        <w:iCs/>
        <w:color w:val="7F8C8D"/>
        <w:sz w:val="16"/>
        <w:szCs w:val="16"/>
      </w:rPr>
      <w:t xml:space="preserve">SMS Maturity Assessment Scoring Sheet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Calibri" w:cs="Calibri" w:eastAsia="Calibri" w:hAnsi="Calibri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Calibri" w:cs="Calibri" w:eastAsia="Calibri" w:hAnsi="Calibri"/>
      <w:b/>
      <w:bCs/>
      <w:color w:val="2980B9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Calibri" w:cs="Calibri" w:eastAsia="Calibri" w:hAnsi="Calibri"/>
      <w:b/>
      <w:bCs/>
      <w:color w:val="1543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2026-02-03T20:06:40.078Z</dcterms:created>
  <dcterms:modified xsi:type="dcterms:W3CDTF">2026-02-03T20:06:40.078Z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