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5276"/>
          <w:sz w:val="36"/>
          <w:szCs w:val="36"/>
        </w:rPr>
        <w:t xml:space="preserve">AFRICAN ANSP PEER REVIEW PROGRAMME</w:t>
      </w:r>
    </w:p>
    <w:p>
      <w:pPr>
        <w:spacing w:after="100"/>
        <w:jc w:val="center"/>
      </w:pPr>
      <w:r>
        <w:rPr>
          <w:rFonts w:ascii="Calibri" w:cs="Calibri" w:eastAsia="Calibri" w:hAnsi="Calibri"/>
          <w:i/>
          <w:iCs/>
          <w:color w:val="7F8C8D"/>
          <w:sz w:val="24"/>
          <w:szCs w:val="24"/>
        </w:rPr>
        <w:t xml:space="preserve">Programme africain d’évaluation par les pairs des ANSP</w:t>
      </w:r>
    </w:p>
    <w:p>
      <w:pPr>
        <w:spacing w:before="400"/>
      </w:pPr>
    </w:p>
    <w:p>
      <w:pPr>
        <w:spacing w:after="200"/>
        <w:jc w:val="center"/>
      </w:pPr>
      <w:r>
        <w:rPr>
          <w:rFonts w:ascii="Calibri" w:cs="Calibri" w:eastAsia="Calibri" w:hAnsi="Calibri"/>
          <w:b/>
          <w:bCs/>
          <w:color w:val="154360"/>
          <w:sz w:val="44"/>
          <w:szCs w:val="44"/>
        </w:rPr>
        <w:t xml:space="preserve">SIMULATED ANSP DOCUMENTATION PACKAGE</w:t>
      </w:r>
    </w:p>
    <w:p>
      <w:pPr>
        <w:spacing w:after="600"/>
        <w:jc w:val="center"/>
      </w:pPr>
      <w:r>
        <w:rPr>
          <w:rFonts w:ascii="Calibri" w:cs="Calibri" w:eastAsia="Calibri" w:hAnsi="Calibri"/>
          <w:i/>
          <w:iCs/>
          <w:color w:val="2980B9"/>
          <w:sz w:val="28"/>
          <w:szCs w:val="28"/>
        </w:rPr>
        <w:t xml:space="preserve">Training Exercise Material – Module 5: Practical Exercises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Document Reference: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000000"/>
                <w:sz w:val="20"/>
                <w:szCs w:val="20"/>
              </w:rPr>
              <w:t xml:space="preserve">AAPRP-TRN-SADP-2026-01</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Version: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3.0 (March 2026 Edition)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Effective Date: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March 2026</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7F8C8D"/>
                <w:sz w:val="20"/>
                <w:szCs w:val="20"/>
              </w:rPr>
              <w:t xml:space="preserve">Classification: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CONFIDENTIAL</w:t>
            </w:r>
          </w:p>
        </w:tc>
      </w:tr>
    </w:tbl>
    <w:p>
      <w:pPr>
        <w:spacing w:before="600"/>
      </w:pPr>
    </w:p>
    <w:p>
      <w:pPr>
        <w:jc w:val="center"/>
      </w:pPr>
      <w:r>
        <w:rPr>
          <w:rFonts w:ascii="Calibri" w:cs="Calibri" w:eastAsia="Calibri" w:hAnsi="Calibri"/>
          <w:color w:val="7F8C8D"/>
          <w:sz w:val="20"/>
          <w:szCs w:val="20"/>
        </w:rPr>
        <w:t xml:space="preserve">Aligned with the Revised Abuja Safety Targets 2024</w:t>
      </w:r>
    </w:p>
    <w:p>
      <w:pPr>
        <w:jc w:val="center"/>
      </w:pPr>
      <w:r>
        <w:rPr>
          <w:rFonts w:ascii="Calibri" w:cs="Calibri" w:eastAsia="Calibri" w:hAnsi="Calibri"/>
          <w:b/>
          <w:bCs/>
          <w:color w:val="E67E22"/>
          <w:sz w:val="20"/>
          <w:szCs w:val="20"/>
        </w:rPr>
        <w:t xml:space="preserve">AST #15: ANSP Certification through Peer Review Programme</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EF9E7" w:val="clear"/>
            <w:tcMar>
              <w:top w:type="dxa" w:w="120"/>
              <w:left w:type="dxa" w:w="200"/>
              <w:bottom w:type="dxa" w:w="120"/>
              <w:right w:type="dxa" w:w="200"/>
            </w:tcMar>
          </w:tcPr>
          <w:p>
            <w:pPr>
              <w:jc w:val="center"/>
            </w:pPr>
            <w:r>
              <w:rPr>
                <w:rFonts w:ascii="Calibri" w:cs="Calibri" w:eastAsia="Calibri" w:hAnsi="Calibri"/>
                <w:b/>
                <w:bCs/>
                <w:color w:val="E67E22"/>
                <w:sz w:val="24"/>
                <w:szCs w:val="24"/>
              </w:rPr>
              <w:t xml:space="preserve">TRAINING USE ONLY</w:t>
            </w:r>
          </w:p>
          <w:p>
            <w:pPr>
              <w:spacing w:before="80"/>
              <w:jc w:val="center"/>
            </w:pPr>
            <w:r>
              <w:rPr>
                <w:rFonts w:ascii="Calibri" w:cs="Calibri" w:eastAsia="Calibri" w:hAnsi="Calibri"/>
                <w:sz w:val="20"/>
                <w:szCs w:val="20"/>
              </w:rPr>
              <w:t xml:space="preserve">Fictitious ANSP: Sahelia Air Navigation Services (SANS)</w:t>
            </w:r>
          </w:p>
          <w:p>
            <w:pPr>
              <w:spacing w:before="40"/>
              <w:jc w:val="center"/>
            </w:pPr>
            <w:r>
              <w:rPr>
                <w:rFonts w:ascii="Calibri" w:cs="Calibri" w:eastAsia="Calibri" w:hAnsi="Calibri"/>
                <w:color w:val="7F8C8D"/>
                <w:sz w:val="18"/>
                <w:szCs w:val="18"/>
              </w:rPr>
              <w:t xml:space="preserve">Country: Republic of Sahelia (Fictitious)  |  ICAO Code: GSSS  |  FIR: Sahelia FIR (FSSS)</w:t>
            </w:r>
          </w:p>
        </w:tc>
      </w:tr>
    </w:tbl>
    <w:p>
      <w:pPr>
        <w:pStyle w:val="Heading1"/>
        <w:spacing w:before="300"/>
      </w:pPr>
      <w:r>
        <w:t xml:space="preserve">1. ANSP Profile and Organizational Overview</w:t>
      </w:r>
    </w:p>
    <w:p>
      <w:pPr>
        <w:spacing w:after="200"/>
      </w:pPr>
      <w:r>
        <w:rPr>
          <w:rFonts w:ascii="Calibri" w:cs="Calibri" w:eastAsia="Calibri" w:hAnsi="Calibri"/>
          <w:sz w:val="22"/>
          <w:szCs w:val="22"/>
        </w:rPr>
        <w:t xml:space="preserve">Sahelia Air Navigation Services (SANS) is the sole air navigation service provider for the Republic of Sahelia, a West African state with a population of approximately 12 million. SANS manages Sahelia FIR (FSSS), providing aerodrome control at N'Koura International Airport (GSKN), approach control services, and area control for flight levels up to FL460.</w:t>
      </w:r>
    </w:p>
    <w:p>
      <w:pPr>
        <w:spacing w:after="200"/>
      </w:pPr>
      <w:r>
        <w:rPr>
          <w:rFonts w:ascii="Calibri" w:cs="Calibri" w:eastAsia="Calibri" w:hAnsi="Calibri"/>
          <w:sz w:val="22"/>
          <w:szCs w:val="22"/>
        </w:rPr>
        <w:t xml:space="preserve">SANS was established as an autonomous public entity in 2008, separated from the Sahelia Civil Aviation Authority (SCAA). It currently employs 387 staff including 142 licensed air traffic controllers, 48 ATSEP technicians, and 12 SAR coordination officers. Annual air traffic movements total approximately 45,000 IFR flights.</w:t>
      </w:r>
    </w:p>
    <w:p>
      <w:pPr>
        <w:pStyle w:val="Heading2"/>
      </w:pPr>
      <w:r>
        <w:t xml:space="preserve">Key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FIR Designation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Sahelia FIR (FSSS)</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ATS Facilities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1 ACC, 1 APP, 1 TWR, 2 AFIS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Licensed ATCOs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142</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Annual IFR Movements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~45,000</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USOAP CMA EI Score (2023)</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62.4% (ANS audit area)</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SMS Implementation</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Partial (approximately Level B-C)</w:t>
            </w:r>
          </w:p>
        </w:tc>
      </w:tr>
    </w:tbl>
    <w:p>
      <w:pPr>
        <w:pStyle w:val="Heading1"/>
      </w:pPr>
      <w:r>
        <w:t xml:space="preserve">2. Safety Policy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200"/>
              <w:left w:type="dxa" w:w="300"/>
              <w:bottom w:type="dxa" w:w="200"/>
              <w:right w:type="dxa" w:w="300"/>
            </w:tcMar>
          </w:tcPr>
          <w:p>
            <w:pPr>
              <w:spacing w:after="200"/>
              <w:jc w:val="center"/>
            </w:pPr>
            <w:r>
              <w:rPr>
                <w:rFonts w:ascii="Calibri" w:cs="Calibri" w:eastAsia="Calibri" w:hAnsi="Calibri"/>
                <w:b/>
                <w:bCs/>
                <w:color w:val="1A5276"/>
                <w:sz w:val="26"/>
                <w:szCs w:val="26"/>
              </w:rPr>
              <w:t xml:space="preserve">SAFETY POLICY STATEMENT</w:t>
            </w:r>
          </w:p>
          <w:p>
            <w:pPr>
              <w:spacing w:after="120"/>
            </w:pPr>
            <w:r>
              <w:rPr>
                <w:rFonts w:ascii="Calibri" w:cs="Calibri" w:eastAsia="Calibri" w:hAnsi="Calibri"/>
                <w:sz w:val="22"/>
                <w:szCs w:val="22"/>
              </w:rPr>
              <w:t xml:space="preserve">Sahelia Air Navigation Services is committed to the highest standards of safety in the provision of air navigation services. We recognize that safety is our primary obligation and that an effective Safety Management System is fundamental to our operations.</w:t>
            </w:r>
          </w:p>
          <w:p>
            <w:pPr>
              <w:spacing w:after="120"/>
            </w:pPr>
            <w:r>
              <w:rPr>
                <w:rFonts w:ascii="Calibri" w:cs="Calibri" w:eastAsia="Calibri" w:hAnsi="Calibri"/>
                <w:sz w:val="22"/>
                <w:szCs w:val="22"/>
              </w:rPr>
              <w:t xml:space="preserve">Management undertakes to provide adequate resources for the implementation and continuous improvement of the SMS, to ensure compliance with applicable ICAO Standards and Recommended Practices, and to promote a just culture that encourages voluntary safety reporting.</w:t>
            </w:r>
          </w:p>
          <w:p>
            <w:pPr>
              <w:spacing w:after="60"/>
            </w:pPr>
            <w:r>
              <w:rPr>
                <w:rFonts w:ascii="Calibri" w:cs="Calibri" w:eastAsia="Calibri" w:hAnsi="Calibri"/>
                <w:i/>
                <w:iCs/>
                <w:color w:val="7F8C8D"/>
                <w:sz w:val="20"/>
                <w:szCs w:val="20"/>
              </w:rPr>
              <w:t xml:space="preserve">Signed: Mr. Amadou Diarra, Director General</w:t>
            </w:r>
          </w:p>
          <w:p>
            <w:r>
              <w:rPr>
                <w:rFonts w:ascii="Calibri" w:cs="Calibri" w:eastAsia="Calibri" w:hAnsi="Calibri"/>
                <w:i/>
                <w:iCs/>
                <w:color w:val="C0392B"/>
                <w:sz w:val="20"/>
                <w:szCs w:val="20"/>
              </w:rPr>
              <w:t xml:space="preserve">Date: 15 January 2024  |  Review Date: 15 January 2025 [NOTE: OVERDUE]</w:t>
            </w:r>
          </w:p>
        </w:tc>
      </w:tr>
    </w:tbl>
    <w:p>
      <w:pPr>
        <w:pStyle w:val="Heading1"/>
      </w:pPr>
      <w:r>
        <w:t xml:space="preserve">3. Safety Performance Indicators and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SPI</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2023 Target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2023 Actual</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ATC-related incidents per 10,000 movements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 2.0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2.8</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NOT MET</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Runway incursions (severity A/B)</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0</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1</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NOT MET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Safety reports per month</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 15</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8.3 avg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NOT MET</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Overdue safety actions (%)</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&lt; 10%</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34%</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NOT MET</w:t>
            </w:r>
          </w:p>
        </w:tc>
      </w:tr>
    </w:tbl>
    <w:p>
      <w:pPr>
        <w:pStyle w:val="Heading1"/>
      </w:pPr>
      <w:r>
        <w:t xml:space="preserve">4. Hazard Register (Extract)</w:t>
      </w:r>
    </w:p>
    <w:p>
      <w:pPr>
        <w:spacing w:after="200"/>
      </w:pPr>
      <w:r>
        <w:rPr>
          <w:rFonts w:ascii="Calibri" w:cs="Calibri" w:eastAsia="Calibri" w:hAnsi="Calibri"/>
          <w:sz w:val="22"/>
          <w:szCs w:val="22"/>
        </w:rPr>
        <w:t xml:space="preserve">The following represents an extract from the SANS Hazard Register, maintained by the Safety Manager. Reviewers should note the completeness of risk assessments, whether mitigations are current, and the review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Hazard ID</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Severity</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Likelihood</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Mitigation Status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HAZ-001</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Loss of radar coverage NW sector</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Major (4)</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Occasional (3)</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Procedural control backup – IN PLACE</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HAZ-007</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VHF frequency congestion approach sector</w:t>
            </w:r>
          </w:p>
        </w:tc>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Significant (3)</w:t>
            </w:r>
          </w:p>
        </w:tc>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Probable (4)</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Frequency study commissioned – PENDING</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HAZ-012</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Unauthorized vehicle incursion runway 09/27</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Catastrophic (5)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Remote (2)</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C0392B"/>
                <w:sz w:val="20"/>
                <w:szCs w:val="20"/>
              </w:rPr>
              <w:t xml:space="preserve">Perimeter fence – assessment OVERDUE since June 2023</w:t>
            </w:r>
          </w:p>
        </w:tc>
      </w:tr>
    </w:tbl>
    <w:p>
      <w:pPr>
        <w:pStyle w:val="Heading1"/>
      </w:pPr>
      <w:r>
        <w:t xml:space="preserve">5. Evidence Gaps and Deliberate Deficiencies Index</w:t>
      </w:r>
    </w:p>
    <w:p>
      <w:pPr>
        <w:spacing w:after="200"/>
      </w:pPr>
      <w:r>
        <w:rPr>
          <w:rFonts w:ascii="Calibri" w:cs="Calibri" w:eastAsia="Calibri" w:hAnsi="Calibri"/>
          <w:b/>
          <w:bCs/>
          <w:i/>
          <w:iCs/>
          <w:color w:val="E67E22"/>
          <w:sz w:val="22"/>
          <w:szCs w:val="22"/>
        </w:rPr>
        <w:t xml:space="preserve">FACILITATOR NOTE: The following deliberate deficiencies have been embedded in this training documentation package. These represent realistic weaknesses commonly found during AFI ANSP peer reviews. Participants should identify these during their document review exercise.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030"/>
        <w:gridCol w:w="2500"/>
        <w:gridCol w:w="2530"/>
      </w:tblGrid>
      <w:tr>
        <w:tc>
          <w:tcPr>
            <w:tcW w:type="dxa" w:w="13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303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Deficiency</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SMS Component</w:t>
            </w:r>
          </w:p>
        </w:tc>
        <w:tc>
          <w:tcPr>
            <w:tcW w:type="dxa" w:w="253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Expected Finding Type</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1</w:t>
            </w:r>
          </w:p>
        </w:tc>
        <w:tc>
          <w:tcPr>
            <w:tcW w:type="dxa" w:w="30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Safety Policy review overdue by 12+ months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1. Safety Policy &amp; Objectives</w:t>
            </w:r>
          </w:p>
        </w:tc>
        <w:tc>
          <w:tcPr>
            <w:tcW w:type="dxa" w:w="25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Non-Conformity</w:t>
            </w:r>
          </w:p>
        </w:tc>
      </w:tr>
      <w:tr>
        <w:tc>
          <w:tcPr>
            <w:tcW w:type="dxa" w:w="1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w:t>
            </w:r>
          </w:p>
        </w:tc>
        <w:tc>
          <w:tcPr>
            <w:tcW w:type="dxa" w:w="303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No formal Management of Change procedure documented</w:t>
            </w:r>
          </w:p>
        </w:tc>
        <w:tc>
          <w:tcPr>
            <w:tcW w:type="dxa" w:w="2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Safety Risk Management</w:t>
            </w:r>
          </w:p>
        </w:tc>
        <w:tc>
          <w:tcPr>
            <w:tcW w:type="dxa" w:w="253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Non-Conformity</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3</w:t>
            </w:r>
          </w:p>
        </w:tc>
        <w:tc>
          <w:tcPr>
            <w:tcW w:type="dxa" w:w="30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SPI targets consistently not met with no corrective action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3. Safety Assurance</w:t>
            </w:r>
          </w:p>
        </w:tc>
        <w:tc>
          <w:tcPr>
            <w:tcW w:type="dxa" w:w="25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E67E22"/>
                <w:sz w:val="20"/>
                <w:szCs w:val="20"/>
              </w:rPr>
              <w:t xml:space="preserve">Observation</w:t>
            </w:r>
          </w:p>
        </w:tc>
      </w:tr>
      <w:tr>
        <w:tc>
          <w:tcPr>
            <w:tcW w:type="dxa" w:w="1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4</w:t>
            </w:r>
          </w:p>
        </w:tc>
        <w:tc>
          <w:tcPr>
            <w:tcW w:type="dxa" w:w="303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Safety training records incomplete for 23% of operational staff</w:t>
            </w:r>
          </w:p>
        </w:tc>
        <w:tc>
          <w:tcPr>
            <w:tcW w:type="dxa" w:w="2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4. Safety Promotion</w:t>
            </w:r>
          </w:p>
        </w:tc>
        <w:tc>
          <w:tcPr>
            <w:tcW w:type="dxa" w:w="253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jc w:val="left"/>
            </w:pPr>
            <w:r>
              <w:rPr>
                <w:rFonts w:ascii="Calibri" w:cs="Calibri" w:eastAsia="Calibri" w:hAnsi="Calibri"/>
                <w:b/>
                <w:bCs/>
                <w:i w:val="false"/>
                <w:iCs w:val="false"/>
                <w:color w:val="E67E22"/>
                <w:sz w:val="20"/>
                <w:szCs w:val="20"/>
              </w:rPr>
              <w:t xml:space="preserve">Observation</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5</w:t>
            </w:r>
          </w:p>
        </w:tc>
        <w:tc>
          <w:tcPr>
            <w:tcW w:type="dxa" w:w="30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Hazard risk assessment for HAZ-012 overdue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000000"/>
                <w:sz w:val="20"/>
                <w:szCs w:val="20"/>
              </w:rPr>
              <w:t xml:space="preserve">2. Safety Risk Management</w:t>
            </w:r>
          </w:p>
        </w:tc>
        <w:tc>
          <w:tcPr>
            <w:tcW w:type="dxa" w:w="25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i w:val="false"/>
                <w:iCs w:val="false"/>
                <w:color w:val="C0392B"/>
                <w:sz w:val="20"/>
                <w:szCs w:val="20"/>
              </w:rPr>
              <w:t xml:space="preserve">Non-Conformity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1"/>
      </w:pBdr>
      <w:spacing w:before="0"/>
      <w:jc w:val="center"/>
    </w:pPr>
    <w:r>
      <w:rPr>
        <w:rFonts w:ascii="Calibri" w:cs="Calibri" w:eastAsia="Calibri" w:hAnsi="Calibri"/>
        <w:color w:val="C0392B"/>
        <w:sz w:val="14"/>
        <w:szCs w:val="14"/>
      </w:rPr>
      <w:t xml:space="preserve">CONFIDENTIAL – For Official Use Only  |  </w:t>
    </w:r>
    <w:r>
      <w:rPr>
        <w:rFonts w:ascii="Calibri" w:cs="Calibri" w:eastAsia="Calibri" w:hAnsi="Calibri"/>
        <w:color w:val="7F8C8D"/>
        <w:sz w:val="14"/>
        <w:szCs w:val="14"/>
      </w:rPr>
      <w:t xml:space="preserve">Page </w:t>
    </w:r>
    <w:r>
      <w:rPr>
        <w:rFonts w:ascii="Calibri" w:cs="Calibri" w:eastAsia="Calibri" w:hAnsi="Calibri"/>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1"/>
      </w:pBdr>
      <w:spacing w:after="0"/>
      <w:jc w:val="center"/>
    </w:pPr>
    <w:r>
      <w:rPr>
        <w:rFonts w:ascii="Calibri" w:cs="Calibri" w:eastAsia="Calibri" w:hAnsi="Calibri"/>
        <w:b/>
        <w:bCs/>
        <w:color w:val="1A5276"/>
        <w:sz w:val="16"/>
        <w:szCs w:val="16"/>
      </w:rPr>
      <w:t xml:space="preserve">AFRICAN ANSP PEER REVIEW PROGRAMME</w:t>
    </w:r>
    <w:r>
      <w:rPr>
        <w:rFonts w:ascii="Calibri" w:cs="Calibri" w:eastAsia="Calibri" w:hAnsi="Calibri"/>
        <w:color w:val="7F8C8D"/>
        <w:sz w:val="16"/>
        <w:szCs w:val="16"/>
      </w:rPr>
      <w:t xml:space="preserve">  |  </w:t>
    </w:r>
    <w:r>
      <w:rPr>
        <w:rFonts w:ascii="Calibri" w:cs="Calibri" w:eastAsia="Calibri" w:hAnsi="Calibri"/>
        <w:i/>
        <w:iCs/>
        <w:color w:val="7F8C8D"/>
        <w:sz w:val="16"/>
        <w:szCs w:val="16"/>
      </w:rPr>
      <w:t xml:space="preserve">Training Exercise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5276"/>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980B9"/>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2026-02-03T20:06:39.938Z</dcterms:created>
  <dcterms:modified xsi:type="dcterms:W3CDTF">2026-02-03T20:06:39.939Z</dcterms:modified>
</cp:coreProperties>
</file>

<file path=docProps/custom.xml><?xml version="1.0" encoding="utf-8"?>
<Properties xmlns="http://schemas.openxmlformats.org/officeDocument/2006/custom-properties" xmlns:vt="http://schemas.openxmlformats.org/officeDocument/2006/docPropsVTypes"/>
</file>