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Article test ambigu : événement gastronomique et sportif</w:t>
      </w:r>
    </w:p>
    <w:p>
      <w:pPr>
        <w:spacing w:after="160"/>
      </w:pPr>
      <w:r>
        <w:t>Une association locale a organisé une journée réunissant une course à pied le matin et un atelier culinaire l'après-midi. Les participants ont d'abord parcouru plusieurs kilomètres dans le parc, puis ont rejoint une salle communale pour préparer un repas équilibré.</w:t>
      </w:r>
    </w:p>
    <w:p>
      <w:pPr>
        <w:spacing w:after="160"/>
      </w:pPr>
      <w:r>
        <w:t>Les organisateurs voulaient montrer le lien entre activité physique, récupération et alimentation. Les recettes proposées contenaient des légumes, des féculents et des protéines, tandis que les coachs donnaient des conseils sur l'hydratation et la gestion de l'effort.</w:t>
      </w:r>
    </w:p>
    <w:p>
      <w:pPr>
        <w:spacing w:after="160"/>
      </w:pPr>
      <w:r>
        <w:t>Cet article est volontairement moins clair qu'un texte uniquement sportif ou uniquement culinaire. Il peut être utile pour vérifier si la méthode classe surtout selon le vocabulaire dominant ou selon le contexte général du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