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 match intense</w:t>
      </w:r>
    </w:p>
    <w:p>
      <w:pPr>
        <w:spacing w:after="160"/>
      </w:pPr>
      <w:r>
        <w:t>Le match a été marqué par une grande intensité physique et une défense très solide. Les joueurs ont accéléré le rythme après la pause, multiplié les appels et cherché à déséquilibrer le bloc adverse par des passes rapides sur les côtés.</w:t>
      </w:r>
    </w:p>
    <w:p>
      <w:pPr>
        <w:spacing w:after="160"/>
      </w:pPr>
      <w:r>
        <w:t>Le but inscrit dans les dernières minutes a donné la victoire à l'équipe, qui reste bien placée dans le championnat. L'entraîneur a souligné la concentration du groupe, la qualité du pressing et la capacité à tenir le score malgré la fatigue.</w:t>
      </w:r>
    </w:p>
    <w:p>
      <w:pPr>
        <w:spacing w:after="160"/>
      </w:pPr>
      <w:r>
        <w:t>Même si la rencontre n'a pas été parfaite techniquement, elle montre une progression dans l'engagement collectif. Les supporters ont surtout retenu l'énergie mise sur chaque duel et la réaction après une première période plus hésitante.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