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Course cycliste en montagne</w:t>
      </w:r>
    </w:p>
    <w:p>
      <w:pPr>
        <w:spacing w:after="160"/>
      </w:pPr>
      <w:r>
        <w:t>Les cyclistes ont affronté une étape de montagne difficile, composée de plusieurs ascensions longues et techniques. Le peloton s'est rapidement divisé dans les premiers kilomètres, car le rythme imposé par les équipes favorites était très élevé. La chaleur a également rendu l'effort plus exigeant.</w:t>
      </w:r>
    </w:p>
    <w:p>
      <w:pPr>
        <w:spacing w:after="160"/>
      </w:pPr>
      <w:r>
        <w:t>Un coureur a lancé une attaque dans le dernier col et a creusé l'écart avant la descente finale. Ses coéquipiers avaient préparé une stratégie offensive afin de l'aider à se placer au bon moment et à économiser de l'énergie dans les parties exposées au vent.</w:t>
      </w:r>
    </w:p>
    <w:p>
      <w:pPr>
        <w:spacing w:after="160"/>
      </w:pPr>
      <w:r>
        <w:t>La récupération, l'endurance et la gestion de l'effort ont été les éléments clés de cette performance sportive. À l'arrivée, les commentateurs ont surtout retenu la lucidité du vainqueur et sa capacité à accélérer malgré la fatigue.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