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Victoire en football local</w:t>
      </w:r>
    </w:p>
    <w:p>
      <w:pPr>
        <w:spacing w:after="160"/>
      </w:pPr>
      <w:r>
        <w:t>L'équipe locale a remporté un match important après une deuxième mi-temps très intense. Dès la reprise, les joueurs ont augmenté le rythme, enchaîné les passes rapides et pressé plus haut pour empêcher l'adversaire de relancer proprement. Cette pression collective a permis de récupérer plusieurs ballons près de la surface.</w:t>
      </w:r>
    </w:p>
    <w:p>
      <w:pPr>
        <w:spacing w:after="160"/>
      </w:pPr>
      <w:r>
        <w:t>Le capitaine a marqué le but décisif dans les dernières minutes sur une action construite depuis le milieu de terrain. Le gardien a ensuite réalisé deux arrêts importants, tandis que la défense a conservé son organisation malgré la fatigue.</w:t>
      </w:r>
    </w:p>
    <w:p>
      <w:pPr>
        <w:spacing w:after="160"/>
      </w:pPr>
      <w:r>
        <w:t>Après la rencontre, l'entraîneur a insisté sur la discipline tactique, la préparation physique et l'esprit d'équipe. Cette victoire améliore le classement du club et donne confiance avant le prochain déplacement du championnat.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