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Rencontre de rugby sous la pluie</w:t>
      </w:r>
    </w:p>
    <w:p>
      <w:pPr>
        <w:spacing w:after="160"/>
      </w:pPr>
      <w:r>
        <w:t>Le match de rugby s'est joué sur un terrain lourd à cause de la pluie. Les appuis étaient difficiles, les passes devenaient moins précises et les avants ont dû multiplier les phases de combat pour conserver le ballon. Chaque mêlée demandait beaucoup d'énergie aux deux équipes.</w:t>
      </w:r>
    </w:p>
    <w:p>
      <w:pPr>
        <w:spacing w:after="160"/>
      </w:pPr>
      <w:r>
        <w:t>L'équipe gagnante a construit son succès grâce à une défense solide et à plusieurs touches bien négociées. Un essai inscrit près de la ligne, après une longue séquence collective, a permis de prendre l'avantage au score avant la fin de la première période.</w:t>
      </w:r>
    </w:p>
    <w:p>
      <w:pPr>
        <w:spacing w:after="160"/>
      </w:pPr>
      <w:r>
        <w:t>Dans ce contexte, la puissance physique, la solidarité et la discipline ont été déterminantes. Le staff a félicité les joueurs pour leur engagement, tout en rappelant que les pénalités concédées devront être réduites lors du prochain déplacement.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