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C"/>
          <w:sz w:val="40"/>
          <w:szCs w:val="40"/>
        </w:rPr>
        <w:t xml:space="preserve">HT1 — AI-Powered Lifestyle Disease Risk Prediction &amp; Early Referral Assistant</w:t>
      </w:r>
    </w:p>
    <w:p>
      <w:pPr>
        <w:spacing w:after="240"/>
      </w:pPr>
      <w:r>
        <w:rPr>
          <w:i/>
          <w:iCs/>
          <w:color w:val="555555"/>
          <w:sz w:val="24"/>
          <w:szCs w:val="24"/>
        </w:rPr>
        <w:t xml:space="preserve">Hackathon project summary — progress report for the jury</w:t>
      </w:r>
    </w:p>
    <w:p>
      <w:pPr>
        <w:pBdr>
          <w:bottom w:val="single" w:color="1F4E5C" w:sz="6"/>
        </w:pBdr>
        <w:spacing w:after="320"/>
      </w:pPr>
      <w:r>
        <w:rPr>
          <w:color w:val="777777"/>
          <w:sz w:val="20"/>
          <w:szCs w:val="20"/>
        </w:rPr>
        <w:t xml:space="preserve">Prepared by Malak · ISEN Méditerranée</w:t>
      </w:r>
    </w:p>
    <w:p>
      <w:pPr>
        <w:pStyle w:val="Heading1"/>
        <w:spacing w:after="160" w:before="320"/>
      </w:pPr>
      <w:r>
        <w:t xml:space="preserve">1. The Problem We Are Addressing</w:t>
      </w:r>
    </w:p>
    <w:p>
      <w:pPr>
        <w:spacing w:after="160"/>
      </w:pPr>
      <w:r>
        <w:t xml:space="preserve">In India, and in many resource-limited countries, chronic lifestyle diseases — diabetes, coronary heart disease, chronic kidney disease, and stroke — are rising sharply. The real issue is not only how common these diseases are, but that most patients are diagnosed late, after complications have already developed and treatment options have narrowed.</w:t>
      </w:r>
    </w:p>
    <w:p>
      <w:pPr>
        <w:spacing w:after="160"/>
      </w:pPr>
      <w:r>
        <w:t xml:space="preserve">This delay comes from real constraints faced by primary healthcare providers: no decision-support tools, limited consultation time, and no easy access to up-to-date clinical guidelines. As a result, screening and referral decisions are delayed, leading to complications and deaths that could often have been avoided.</w:t>
      </w:r>
    </w:p>
    <w:p>
      <w:pPr>
        <w:spacing w:after="160"/>
      </w:pPr>
      <w:r>
        <w:rPr>
          <w:b/>
          <w:bCs/>
        </w:rPr>
        <w:t xml:space="preserve">Our goal: build an AI system that helps medical staff identify at-risk patients early — before referral or testing would normally happen — using simple, readily available information, and guide them as the patient's condition evolves.</w:t>
      </w:r>
    </w:p>
    <w:p>
      <w:pPr>
        <w:pStyle w:val="Heading1"/>
        <w:spacing w:after="160" w:before="320"/>
      </w:pPr>
      <w:r>
        <w:t xml:space="preserve">2. The Solution We Built</w:t>
      </w:r>
    </w:p>
    <w:p>
      <w:pPr>
        <w:spacing w:after="160"/>
      </w:pPr>
      <w:r>
        <w:t xml:space="preserve">We built a system based on four independent machine learning models, each specialized in predicting the risk of one disease:</w:t>
      </w:r>
    </w:p>
    <w:p>
      <w:pPr>
        <w:pStyle w:val="ListParagraph"/>
        <w:numPr>
          <w:ilvl w:val="0"/>
          <w:numId w:val="1"/>
        </w:numPr>
        <w:spacing w:after="80"/>
      </w:pPr>
      <w:r>
        <w:t xml:space="preserve">Diabetes</w:t>
      </w:r>
    </w:p>
    <w:p>
      <w:pPr>
        <w:pStyle w:val="ListParagraph"/>
        <w:numPr>
          <w:ilvl w:val="0"/>
          <w:numId w:val="1"/>
        </w:numPr>
        <w:spacing w:after="80"/>
      </w:pPr>
      <w:r>
        <w:t xml:space="preserve">Coronary Heart Disease (CHD)</w:t>
      </w:r>
    </w:p>
    <w:p>
      <w:pPr>
        <w:pStyle w:val="ListParagraph"/>
        <w:numPr>
          <w:ilvl w:val="0"/>
          <w:numId w:val="1"/>
        </w:numPr>
        <w:spacing w:after="80"/>
      </w:pPr>
      <w:r>
        <w:t xml:space="preserve">Stroke</w:t>
      </w:r>
    </w:p>
    <w:p>
      <w:pPr>
        <w:pStyle w:val="ListParagraph"/>
        <w:numPr>
          <w:ilvl w:val="0"/>
          <w:numId w:val="1"/>
        </w:numPr>
        <w:spacing w:after="80"/>
      </w:pPr>
      <w:r>
        <w:t xml:space="preserve">Chronic Kidney Disease (CKD)</w:t>
      </w:r>
    </w:p>
    <w:p>
      <w:pPr>
        <w:pStyle w:val="Heading2"/>
        <w:spacing w:after="120" w:before="240"/>
      </w:pPr>
      <w:r>
        <w:t xml:space="preserve">Why four separate models instead of one unified model?</w:t>
      </w:r>
    </w:p>
    <w:p>
      <w:pPr>
        <w:spacing w:after="160"/>
      </w:pPr>
      <w:r>
        <w:t xml:space="preserve">This was a deliberate technical decision made after analyzing the data: each disease relies on clinical variables that are almost entirely different from the others. CKD depends on urine and lab tests; heart disease depends on blood pressure and cholesterol. Merging everything into a single model would have diluted the signal each disease needs. We instead built four specialized models and bring their results together into a single dashboard, giving a complete view of the patient's status.</w:t>
      </w:r>
    </w:p>
    <w:p>
      <w:pPr>
        <w:pStyle w:val="Heading1"/>
        <w:spacing w:after="160" w:before="320"/>
      </w:pPr>
      <w:r>
        <w:t xml:space="preserve">3. Data Used</w:t>
      </w:r>
    </w:p>
    <w:p>
      <w:pPr>
        <w:spacing w:after="160"/>
      </w:pPr>
      <w:r>
        <w:t xml:space="preserve">We used four well-known, scientifically validated medical datasets: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gridCol w:w="1600"/>
      </w:tblGrid>
      <w:tr>
        <w:tc>
          <w:tcPr>
            <w:tcW w:type="dxa" w:w="2400"/>
            <w:shd w:fill="1F4E5C" w:val="clear"/>
            <w:tcMar>
              <w:top w:type="dxa" w:w="80"/>
              <w:left w:type="dxa" w:w="120"/>
              <w:bottom w:type="dxa" w:w="80"/>
              <w:right w:type="dxa" w:w="120"/>
            </w:tcMar>
            <w:vAlign w:val="center"/>
          </w:tcPr>
          <w:p>
            <w:r>
              <w:rPr>
                <w:b/>
                <w:bCs/>
                <w:color w:val="FFFFFF"/>
                <w:sz w:val="20"/>
                <w:szCs w:val="20"/>
              </w:rPr>
              <w:t xml:space="preserve">Disease</w:t>
            </w:r>
          </w:p>
        </w:tc>
        <w:tc>
          <w:tcPr>
            <w:tcW w:type="dxa" w:w="3400"/>
            <w:shd w:fill="1F4E5C" w:val="clear"/>
            <w:tcMar>
              <w:top w:type="dxa" w:w="80"/>
              <w:left w:type="dxa" w:w="120"/>
              <w:bottom w:type="dxa" w:w="80"/>
              <w:right w:type="dxa" w:w="120"/>
            </w:tcMar>
            <w:vAlign w:val="center"/>
          </w:tcPr>
          <w:p>
            <w:r>
              <w:rPr>
                <w:b/>
                <w:bCs/>
                <w:color w:val="FFFFFF"/>
                <w:sz w:val="20"/>
                <w:szCs w:val="20"/>
              </w:rPr>
              <w:t xml:space="preserve">Dataset</w:t>
            </w:r>
          </w:p>
        </w:tc>
        <w:tc>
          <w:tcPr>
            <w:tcW w:type="dxa" w:w="3200"/>
            <w:shd w:fill="1F4E5C" w:val="clear"/>
            <w:tcMar>
              <w:top w:type="dxa" w:w="80"/>
              <w:left w:type="dxa" w:w="120"/>
              <w:bottom w:type="dxa" w:w="80"/>
              <w:right w:type="dxa" w:w="120"/>
            </w:tcMar>
            <w:vAlign w:val="center"/>
          </w:tcPr>
          <w:p>
            <w:r>
              <w:rPr>
                <w:b/>
                <w:bCs/>
                <w:color w:val="FFFFFF"/>
                <w:sz w:val="20"/>
                <w:szCs w:val="20"/>
              </w:rPr>
              <w:t xml:space="preserve">Source</w:t>
            </w:r>
          </w:p>
        </w:tc>
        <w:tc>
          <w:tcPr>
            <w:tcW w:type="dxa" w:w="1600"/>
            <w:shd w:fill="1F4E5C" w:val="clear"/>
            <w:tcMar>
              <w:top w:type="dxa" w:w="80"/>
              <w:left w:type="dxa" w:w="120"/>
              <w:bottom w:type="dxa" w:w="80"/>
              <w:right w:type="dxa" w:w="120"/>
            </w:tcMar>
            <w:vAlign w:val="center"/>
          </w:tcPr>
          <w:p>
            <w:r>
              <w:rPr>
                <w:b/>
                <w:bCs/>
                <w:color w:val="FFFFFF"/>
                <w:sz w:val="20"/>
                <w:szCs w:val="20"/>
              </w:rPr>
              <w:t xml:space="preserve">Cases</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Diabetes</w:t>
            </w:r>
          </w:p>
        </w:tc>
        <w:tc>
          <w:tcPr>
            <w:tcW w:type="dxa" w:w="3400"/>
            <w:tcMar>
              <w:top w:type="dxa" w:w="80"/>
              <w:left w:type="dxa" w:w="120"/>
              <w:bottom w:type="dxa" w:w="80"/>
              <w:right w:type="dxa" w:w="120"/>
            </w:tcMar>
            <w:vAlign w:val="center"/>
          </w:tcPr>
          <w:p>
            <w:r>
              <w:rPr>
                <w:b w:val="false"/>
                <w:bCs w:val="false"/>
                <w:color w:val="000000"/>
                <w:sz w:val="20"/>
                <w:szCs w:val="20"/>
              </w:rPr>
              <w:t xml:space="preserve">Pima Indians Diabetes Dataset</w:t>
            </w:r>
          </w:p>
        </w:tc>
        <w:tc>
          <w:tcPr>
            <w:tcW w:type="dxa" w:w="3200"/>
            <w:tcMar>
              <w:top w:type="dxa" w:w="80"/>
              <w:left w:type="dxa" w:w="120"/>
              <w:bottom w:type="dxa" w:w="80"/>
              <w:right w:type="dxa" w:w="120"/>
            </w:tcMar>
            <w:vAlign w:val="center"/>
          </w:tcPr>
          <w:p>
            <w:r>
              <w:rPr>
                <w:b w:val="false"/>
                <w:bCs w:val="false"/>
                <w:color w:val="000000"/>
                <w:sz w:val="20"/>
                <w:szCs w:val="20"/>
              </w:rPr>
              <w:t xml:space="preserve">Public medical dataset</w:t>
            </w:r>
          </w:p>
        </w:tc>
        <w:tc>
          <w:tcPr>
            <w:tcW w:type="dxa" w:w="1600"/>
            <w:tcMar>
              <w:top w:type="dxa" w:w="80"/>
              <w:left w:type="dxa" w:w="120"/>
              <w:bottom w:type="dxa" w:w="80"/>
              <w:right w:type="dxa" w:w="120"/>
            </w:tcMar>
            <w:vAlign w:val="center"/>
          </w:tcPr>
          <w:p>
            <w:r>
              <w:rPr>
                <w:b w:val="false"/>
                <w:bCs w:val="false"/>
                <w:color w:val="000000"/>
                <w:sz w:val="20"/>
                <w:szCs w:val="20"/>
              </w:rPr>
              <w:t xml:space="preserve">768</w:t>
            </w:r>
          </w:p>
        </w:tc>
      </w:tr>
      <w:tr>
        <w:tc>
          <w:tcPr>
            <w:tcW w:type="dxa" w:w="2400"/>
            <w:shd w:fill="EAF1F3" w:val="clear"/>
            <w:tcMar>
              <w:top w:type="dxa" w:w="80"/>
              <w:left w:type="dxa" w:w="120"/>
              <w:bottom w:type="dxa" w:w="80"/>
              <w:right w:type="dxa" w:w="120"/>
            </w:tcMar>
            <w:vAlign w:val="center"/>
          </w:tcPr>
          <w:p>
            <w:r>
              <w:rPr>
                <w:b w:val="false"/>
                <w:bCs w:val="false"/>
                <w:color w:val="000000"/>
                <w:sz w:val="20"/>
                <w:szCs w:val="20"/>
              </w:rPr>
              <w:t xml:space="preserve">Coronary Heart Disease</w:t>
            </w:r>
          </w:p>
        </w:tc>
        <w:tc>
          <w:tcPr>
            <w:tcW w:type="dxa" w:w="3400"/>
            <w:shd w:fill="EAF1F3" w:val="clear"/>
            <w:tcMar>
              <w:top w:type="dxa" w:w="80"/>
              <w:left w:type="dxa" w:w="120"/>
              <w:bottom w:type="dxa" w:w="80"/>
              <w:right w:type="dxa" w:w="120"/>
            </w:tcMar>
            <w:vAlign w:val="center"/>
          </w:tcPr>
          <w:p>
            <w:r>
              <w:rPr>
                <w:b w:val="false"/>
                <w:bCs w:val="false"/>
                <w:color w:val="000000"/>
                <w:sz w:val="20"/>
                <w:szCs w:val="20"/>
              </w:rPr>
              <w:t xml:space="preserve">Framingham Heart Study</w:t>
            </w:r>
          </w:p>
        </w:tc>
        <w:tc>
          <w:tcPr>
            <w:tcW w:type="dxa" w:w="3200"/>
            <w:shd w:fill="EAF1F3" w:val="clear"/>
            <w:tcMar>
              <w:top w:type="dxa" w:w="80"/>
              <w:left w:type="dxa" w:w="120"/>
              <w:bottom w:type="dxa" w:w="80"/>
              <w:right w:type="dxa" w:w="120"/>
            </w:tcMar>
            <w:vAlign w:val="center"/>
          </w:tcPr>
          <w:p>
            <w:r>
              <w:rPr>
                <w:b w:val="false"/>
                <w:bCs w:val="false"/>
                <w:color w:val="000000"/>
                <w:sz w:val="20"/>
                <w:szCs w:val="20"/>
              </w:rPr>
              <w:t xml:space="preserve">Framingham cohort study</w:t>
            </w:r>
          </w:p>
        </w:tc>
        <w:tc>
          <w:tcPr>
            <w:tcW w:type="dxa" w:w="1600"/>
            <w:shd w:fill="EAF1F3" w:val="clear"/>
            <w:tcMar>
              <w:top w:type="dxa" w:w="80"/>
              <w:left w:type="dxa" w:w="120"/>
              <w:bottom w:type="dxa" w:w="80"/>
              <w:right w:type="dxa" w:w="120"/>
            </w:tcMar>
            <w:vAlign w:val="center"/>
          </w:tcPr>
          <w:p>
            <w:r>
              <w:rPr>
                <w:b w:val="false"/>
                <w:bCs w:val="false"/>
                <w:color w:val="000000"/>
                <w:sz w:val="20"/>
                <w:szCs w:val="20"/>
              </w:rPr>
              <w:t xml:space="preserve">4,240</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Stroke</w:t>
            </w:r>
          </w:p>
        </w:tc>
        <w:tc>
          <w:tcPr>
            <w:tcW w:type="dxa" w:w="3400"/>
            <w:tcMar>
              <w:top w:type="dxa" w:w="80"/>
              <w:left w:type="dxa" w:w="120"/>
              <w:bottom w:type="dxa" w:w="80"/>
              <w:right w:type="dxa" w:w="120"/>
            </w:tcMar>
            <w:vAlign w:val="center"/>
          </w:tcPr>
          <w:p>
            <w:r>
              <w:rPr>
                <w:b w:val="false"/>
                <w:bCs w:val="false"/>
                <w:color w:val="000000"/>
                <w:sz w:val="20"/>
                <w:szCs w:val="20"/>
              </w:rPr>
              <w:t xml:space="preserve">Stroke Prediction Dataset</w:t>
            </w:r>
          </w:p>
        </w:tc>
        <w:tc>
          <w:tcPr>
            <w:tcW w:type="dxa" w:w="3200"/>
            <w:tcMar>
              <w:top w:type="dxa" w:w="80"/>
              <w:left w:type="dxa" w:w="120"/>
              <w:bottom w:type="dxa" w:w="80"/>
              <w:right w:type="dxa" w:w="120"/>
            </w:tcMar>
            <w:vAlign w:val="center"/>
          </w:tcPr>
          <w:p>
            <w:r>
              <w:rPr>
                <w:b w:val="false"/>
                <w:bCs w:val="false"/>
                <w:color w:val="000000"/>
                <w:sz w:val="20"/>
                <w:szCs w:val="20"/>
              </w:rPr>
              <w:t xml:space="preserve">Public medical dataset</w:t>
            </w:r>
          </w:p>
        </w:tc>
        <w:tc>
          <w:tcPr>
            <w:tcW w:type="dxa" w:w="1600"/>
            <w:tcMar>
              <w:top w:type="dxa" w:w="80"/>
              <w:left w:type="dxa" w:w="120"/>
              <w:bottom w:type="dxa" w:w="80"/>
              <w:right w:type="dxa" w:w="120"/>
            </w:tcMar>
            <w:vAlign w:val="center"/>
          </w:tcPr>
          <w:p>
            <w:r>
              <w:rPr>
                <w:b w:val="false"/>
                <w:bCs w:val="false"/>
                <w:color w:val="000000"/>
                <w:sz w:val="20"/>
                <w:szCs w:val="20"/>
              </w:rPr>
              <w:t xml:space="preserve">5,110</w:t>
            </w:r>
          </w:p>
        </w:tc>
      </w:tr>
      <w:tr>
        <w:tc>
          <w:tcPr>
            <w:tcW w:type="dxa" w:w="2400"/>
            <w:shd w:fill="EAF1F3" w:val="clear"/>
            <w:tcMar>
              <w:top w:type="dxa" w:w="80"/>
              <w:left w:type="dxa" w:w="120"/>
              <w:bottom w:type="dxa" w:w="80"/>
              <w:right w:type="dxa" w:w="120"/>
            </w:tcMar>
            <w:vAlign w:val="center"/>
          </w:tcPr>
          <w:p>
            <w:r>
              <w:rPr>
                <w:b w:val="false"/>
                <w:bCs w:val="false"/>
                <w:color w:val="000000"/>
                <w:sz w:val="20"/>
                <w:szCs w:val="20"/>
              </w:rPr>
              <w:t xml:space="preserve">Chronic Kidney Disease</w:t>
            </w:r>
          </w:p>
        </w:tc>
        <w:tc>
          <w:tcPr>
            <w:tcW w:type="dxa" w:w="3400"/>
            <w:shd w:fill="EAF1F3" w:val="clear"/>
            <w:tcMar>
              <w:top w:type="dxa" w:w="80"/>
              <w:left w:type="dxa" w:w="120"/>
              <w:bottom w:type="dxa" w:w="80"/>
              <w:right w:type="dxa" w:w="120"/>
            </w:tcMar>
            <w:vAlign w:val="center"/>
          </w:tcPr>
          <w:p>
            <w:r>
              <w:rPr>
                <w:b w:val="false"/>
                <w:bCs w:val="false"/>
                <w:color w:val="000000"/>
                <w:sz w:val="20"/>
                <w:szCs w:val="20"/>
              </w:rPr>
              <w:t xml:space="preserve">UCI CKD Dataset</w:t>
            </w:r>
          </w:p>
        </w:tc>
        <w:tc>
          <w:tcPr>
            <w:tcW w:type="dxa" w:w="3200"/>
            <w:shd w:fill="EAF1F3" w:val="clear"/>
            <w:tcMar>
              <w:top w:type="dxa" w:w="80"/>
              <w:left w:type="dxa" w:w="120"/>
              <w:bottom w:type="dxa" w:w="80"/>
              <w:right w:type="dxa" w:w="120"/>
            </w:tcMar>
            <w:vAlign w:val="center"/>
          </w:tcPr>
          <w:p>
            <w:r>
              <w:rPr>
                <w:b w:val="false"/>
                <w:bCs w:val="false"/>
                <w:color w:val="000000"/>
                <w:sz w:val="20"/>
                <w:szCs w:val="20"/>
              </w:rPr>
              <w:t xml:space="preserve">Apollo Hospital, India</w:t>
            </w:r>
          </w:p>
        </w:tc>
        <w:tc>
          <w:tcPr>
            <w:tcW w:type="dxa" w:w="1600"/>
            <w:shd w:fill="EAF1F3" w:val="clear"/>
            <w:tcMar>
              <w:top w:type="dxa" w:w="80"/>
              <w:left w:type="dxa" w:w="120"/>
              <w:bottom w:type="dxa" w:w="80"/>
              <w:right w:type="dxa" w:w="120"/>
            </w:tcMar>
            <w:vAlign w:val="center"/>
          </w:tcPr>
          <w:p>
            <w:r>
              <w:rPr>
                <w:b w:val="false"/>
                <w:bCs w:val="false"/>
                <w:color w:val="000000"/>
                <w:sz w:val="20"/>
                <w:szCs w:val="20"/>
              </w:rPr>
              <w:t xml:space="preserve">400</w:t>
            </w:r>
          </w:p>
        </w:tc>
      </w:tr>
    </w:tbl>
    <w:p>
      <w:pPr>
        <w:pStyle w:val="Heading1"/>
        <w:spacing w:after="160" w:before="320"/>
      </w:pPr>
      <w:r>
        <w:t xml:space="preserve">4. How the Models Work</w:t>
      </w:r>
    </w:p>
    <w:p>
      <w:pPr>
        <w:pStyle w:val="Heading2"/>
        <w:spacing w:after="120" w:before="240"/>
      </w:pPr>
      <w:r>
        <w:t xml:space="preserve">4.1 XGBoost</w:t>
      </w:r>
    </w:p>
    <w:p>
      <w:pPr>
        <w:spacing w:after="160"/>
      </w:pPr>
      <w:r>
        <w:t xml:space="preserve">We chose XGBoost (Extreme Gradient Boosting), one of the strongest algorithms for tabular medical prediction. It builds hundreds of small decision trees sequentially, where each tree learns from the errors of the previous one, gradually improving the prediction.</w:t>
      </w:r>
    </w:p>
    <w:p>
      <w:pPr>
        <w:spacing w:after="160"/>
      </w:pPr>
      <w:r>
        <w:t xml:space="preserve">We chose it for three main reasons:</w:t>
      </w:r>
    </w:p>
    <w:p>
      <w:pPr>
        <w:pStyle w:val="ListParagraph"/>
        <w:numPr>
          <w:ilvl w:val="0"/>
          <w:numId w:val="1"/>
        </w:numPr>
        <w:spacing w:after="80"/>
      </w:pPr>
      <w:r>
        <w:t xml:space="preserve">High accuracy on tabular medical data.</w:t>
      </w:r>
    </w:p>
    <w:p>
      <w:pPr>
        <w:pStyle w:val="ListParagraph"/>
        <w:numPr>
          <w:ilvl w:val="0"/>
          <w:numId w:val="1"/>
        </w:numPr>
        <w:spacing w:after="80"/>
      </w:pPr>
      <w:r>
        <w:t xml:space="preserve">Handles missing values automatically — essential, since real medical records are rarely complete.</w:t>
      </w:r>
    </w:p>
    <w:p>
      <w:pPr>
        <w:pStyle w:val="ListParagraph"/>
        <w:numPr>
          <w:ilvl w:val="0"/>
          <w:numId w:val="1"/>
        </w:numPr>
        <w:spacing w:after="80"/>
      </w:pPr>
      <w:r>
        <w:t xml:space="preserve">Combines well with interpretability tools such as SHAP.</w:t>
      </w:r>
    </w:p>
    <w:p>
      <w:pPr>
        <w:pStyle w:val="Heading2"/>
        <w:spacing w:after="120" w:before="240"/>
      </w:pPr>
      <w:r>
        <w:t xml:space="preserve">4.2 Handling Missing Values</w:t>
      </w:r>
    </w:p>
    <w:p>
      <w:pPr>
        <w:spacing w:after="160"/>
      </w:pPr>
      <w:r>
        <w:t xml:space="preserve">We noticed that some values in the data were zeros used as a disguised "missing value" marker — for example, a blood pressure of zero, which is medically impossible. We converted these to true missing values (NaN) and let XGBoost handle them internally with its built-in bias, avoiding the need to artificially guess replacement values and introduce bias into the results.</w:t>
      </w:r>
    </w:p>
    <w:p>
      <w:pPr>
        <w:pStyle w:val="Heading2"/>
        <w:spacing w:after="120" w:before="240"/>
      </w:pPr>
      <w:r>
        <w:t xml:space="preserve">4.3 Handling Class Imbalance</w:t>
      </w:r>
    </w:p>
    <w:p>
      <w:pPr>
        <w:spacing w:after="160"/>
      </w:pPr>
      <w:r>
        <w:t xml:space="preserve">In real medical data, the number of "affected" cases is usually far smaller than the number of "healthy" cases — for instance, in the stroke dataset only 4.9% of cases were actual strokes. Without addressing this, a model would learn to always predict "no disease" and achieve deceptively high accuracy with no real clinical value. We solved this with a parameter called scale_pos_weight, which gives the model more weight for the rare (affected) class during training, making it more sensitive to detecting these cases.</w:t>
      </w:r>
    </w:p>
    <w:p>
      <w:pPr>
        <w:pStyle w:val="Heading2"/>
        <w:spacing w:after="120" w:before="240"/>
      </w:pPr>
      <w:r>
        <w:t xml:space="preserve">4.4 Transparency with SHAP</w:t>
      </w:r>
    </w:p>
    <w:p>
      <w:pPr>
        <w:spacing w:after="160"/>
      </w:pPr>
      <w:r>
        <w:t xml:space="preserve">An AI system in the medical field cannot be a black box — it must be interpretable. We integrated SHAP (SHapley Additive exPlanations), which breaks down each individual prediction and shows exactly which factor increased or decreased a given patient's risk score — for example: "elevated sugar level contributed 15% to raising the risk, while young age contributed to lowering it." This gives the doctor a clear basis for trusting the decision, rather than accepting it blindly.</w:t>
      </w:r>
    </w:p>
    <w:p>
      <w:pPr>
        <w:pStyle w:val="Heading2"/>
        <w:spacing w:after="120" w:before="240"/>
      </w:pPr>
      <w:r>
        <w:t xml:space="preserve">4.5 Choosing a Clinical Threshold for Each Disease</w:t>
      </w:r>
    </w:p>
    <w:p>
      <w:pPr>
        <w:spacing w:after="160"/>
      </w:pPr>
      <w:r>
        <w:t xml:space="preserve">An important decision: instead of using a single classification threshold (50%) for every disease, we chose a different threshold for each one, based on the medical cost of an error specific to that disease. For a case like stroke, missing a true positive (a false negative) is far more dangerous than an unnecessary extra referral (a false positive). So we lowered the threshold to increase sensitivity (recall) — because our system is meant to be a screening tool for early referral, not a final diagnostic tool.</w:t>
      </w:r>
    </w:p>
    <w:p>
      <w:pPr>
        <w:pStyle w:val="Heading1"/>
        <w:spacing w:after="160" w:before="320"/>
      </w:pPr>
      <w:r>
        <w:t xml:space="preserve">5. Challenges We Faced and How We Solved Them</w:t>
      </w:r>
    </w:p>
    <w:p>
      <w:pPr>
        <w:pStyle w:val="Heading2"/>
        <w:spacing w:after="120" w:before="240"/>
      </w:pPr>
      <w:r>
        <w:t xml:space="preserve">Problem 1 — Corrupted CKD data file</w:t>
      </w:r>
    </w:p>
    <w:p>
      <w:pPr>
        <w:spacing w:after="160"/>
      </w:pPr>
      <w:r>
        <w:t xml:space="preserve">The CKD data file (ARFF format) failed to load with every standard library we tried, because some rows had extra delimiters, causing a column count mismatch. Solution: we wrote a custom line-by-line parser that reads and fixes each row, and converts "?" symbols into true missing values. We successfully recovered 399 of the original 400 cases.</w:t>
      </w:r>
    </w:p>
    <w:p>
      <w:pPr>
        <w:pStyle w:val="Heading2"/>
        <w:spacing w:after="120" w:before="240"/>
      </w:pPr>
      <w:r>
        <w:t xml:space="preserve">Problem 2 — Medically impossible zero values in the diabetes data</w:t>
      </w:r>
    </w:p>
    <w:p>
      <w:pPr>
        <w:spacing w:after="160"/>
      </w:pPr>
      <w:r>
        <w:t xml:space="preserve">We found that 48.7% of insulin values and 29.6% of skin-thickness values were zero — biologically impossible. Solution: we converted these to true missing values instead of treating them as real numbers, avoiding distortion of the model.</w:t>
      </w:r>
    </w:p>
    <w:p>
      <w:pPr>
        <w:pStyle w:val="Heading2"/>
        <w:spacing w:after="120" w:before="240"/>
      </w:pPr>
      <w:r>
        <w:t xml:space="preserve">Problem 3 — Relatively weak performance of the heart model</w:t>
      </w:r>
    </w:p>
    <w:p>
      <w:pPr>
        <w:spacing w:after="160"/>
      </w:pPr>
      <w:r>
        <w:t xml:space="preserve">The heart model's initial AUC was only around 0.65 — modest predictive power. Analysis showed this was partly due to limited features in the dataset itself. We improved it by:</w:t>
      </w:r>
    </w:p>
    <w:p>
      <w:pPr>
        <w:pStyle w:val="ListParagraph"/>
        <w:numPr>
          <w:ilvl w:val="0"/>
          <w:numId w:val="1"/>
        </w:numPr>
        <w:spacing w:after="80"/>
      </w:pPr>
      <w:r>
        <w:t xml:space="preserve">Adding new composite medical variables (e.g., "pulse pressure" = systolic minus diastolic pressure, a known cardiovascular risk marker).</w:t>
      </w:r>
    </w:p>
    <w:p>
      <w:pPr>
        <w:pStyle w:val="ListParagraph"/>
        <w:numPr>
          <w:ilvl w:val="0"/>
          <w:numId w:val="1"/>
        </w:numPr>
        <w:spacing w:after="80"/>
      </w:pPr>
      <w:r>
        <w:t xml:space="preserve">Hyperparameter tuning via automated search across 40 different combinations.</w:t>
      </w:r>
    </w:p>
    <w:p>
      <w:pPr>
        <w:pStyle w:val="ListParagraph"/>
        <w:numPr>
          <w:ilvl w:val="0"/>
          <w:numId w:val="1"/>
        </w:numPr>
        <w:spacing w:after="80"/>
      </w:pPr>
      <w:r>
        <w:t xml:space="preserve">Adjusting the class-balance parameter to be less skewed.</w:t>
      </w:r>
    </w:p>
    <w:p>
      <w:pPr>
        <w:spacing w:after="160"/>
      </w:pPr>
      <w:r>
        <w:t xml:space="preserve">The result: AUC improved to around 0.70–0.73, consistent with published studies on the same Framingham dataset — confirming that our performance is close to the ceiling achievable with this data.</w:t>
      </w:r>
    </w:p>
    <w:p>
      <w:pPr>
        <w:pStyle w:val="Heading2"/>
        <w:spacing w:after="120" w:before="240"/>
      </w:pPr>
      <w:r>
        <w:t xml:space="preserve">Problem 4 — Severe class imbalance in the stroke data</w:t>
      </w:r>
    </w:p>
    <w:p>
      <w:pPr>
        <w:spacing w:after="160"/>
      </w:pPr>
      <w:r>
        <w:t xml:space="preserve">Only 4.9% of cases were affected (an imbalance ratio of about 19.5:1). Solution: we used PR-AUC (Precision-Recall AUC) instead of ROC-AUC, which is more informative under severe imbalance. We also chose a lower classification threshold (0.15 instead of the default 0.5), raising the system's ability to detect true cases from 28% to 82% sensitivity — very reasonable for an early-screening tool, even at the cost of some extra false alarms.</w:t>
      </w:r>
    </w:p>
    <w:p>
      <w:pPr>
        <w:pStyle w:val="Heading2"/>
        <w:spacing w:after="120" w:before="240"/>
      </w:pPr>
      <w:r>
        <w:t xml:space="preserve">Problem 5 — 100% accuracy on the kidney model: an alarm, not a celebration</w:t>
      </w:r>
    </w:p>
    <w:p>
      <w:pPr>
        <w:spacing w:after="160"/>
      </w:pPr>
      <w:r>
        <w:t xml:space="preserve">When we first trained the kidney model, it reached 100% classification accuracy. Instead of celebrating that number, we immediately investigated why: the model was relying only on four advanced lab tests (such as hemoglobin percentage and packed cell volume) — markers that only appear clearly in advanced-stage disease. This meant the model was confirming advanced disease, not detecting it early, which didn't match our actual goal.</w:t>
      </w:r>
    </w:p>
    <w:p>
      <w:pPr>
        <w:spacing w:after="160"/>
      </w:pPr>
      <w:r>
        <w:t xml:space="preserve">Solution: we ran an ablation study, retraining the model using only the basic information available at a simple primary health center (age, blood pressure, basic urine analysis, blood sugar) with no advanced lab tests. The result was striking: 99.27% accuracy with 96% detection rate — proving the system can genuinely support early detection using limited, realistically available information, which is exactly the project's real goal.</w:t>
      </w:r>
    </w:p>
    <w:p>
      <w:pPr>
        <w:pStyle w:val="Heading1"/>
        <w:spacing w:after="160" w:before="320"/>
      </w:pPr>
      <w:r>
        <w:t xml:space="preserve">6. Final Results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800"/>
        <w:gridCol w:w="3800"/>
      </w:tblGrid>
      <w:tr>
        <w:tc>
          <w:tcPr>
            <w:tcW w:type="dxa" w:w="2600"/>
            <w:shd w:fill="1F4E5C" w:val="clear"/>
            <w:tcMar>
              <w:top w:type="dxa" w:w="80"/>
              <w:left w:type="dxa" w:w="120"/>
              <w:bottom w:type="dxa" w:w="80"/>
              <w:right w:type="dxa" w:w="120"/>
            </w:tcMar>
            <w:vAlign w:val="center"/>
          </w:tcPr>
          <w:p>
            <w:r>
              <w:rPr>
                <w:b/>
                <w:bCs/>
                <w:color w:val="FFFFFF"/>
                <w:sz w:val="20"/>
                <w:szCs w:val="20"/>
              </w:rPr>
              <w:t xml:space="preserve">Disease</w:t>
            </w:r>
          </w:p>
        </w:tc>
        <w:tc>
          <w:tcPr>
            <w:tcW w:type="dxa" w:w="2400"/>
            <w:shd w:fill="1F4E5C" w:val="clear"/>
            <w:tcMar>
              <w:top w:type="dxa" w:w="80"/>
              <w:left w:type="dxa" w:w="120"/>
              <w:bottom w:type="dxa" w:w="80"/>
              <w:right w:type="dxa" w:w="120"/>
            </w:tcMar>
            <w:vAlign w:val="center"/>
          </w:tcPr>
          <w:p>
            <w:r>
              <w:rPr>
                <w:b/>
                <w:bCs/>
                <w:color w:val="FFFFFF"/>
                <w:sz w:val="20"/>
                <w:szCs w:val="20"/>
              </w:rPr>
              <w:t xml:space="preserve">Recall / Detection</w:t>
            </w:r>
          </w:p>
        </w:tc>
        <w:tc>
          <w:tcPr>
            <w:tcW w:type="dxa" w:w="1800"/>
            <w:shd w:fill="1F4E5C" w:val="clear"/>
            <w:tcMar>
              <w:top w:type="dxa" w:w="80"/>
              <w:left w:type="dxa" w:w="120"/>
              <w:bottom w:type="dxa" w:w="80"/>
              <w:right w:type="dxa" w:w="120"/>
            </w:tcMar>
            <w:vAlign w:val="center"/>
          </w:tcPr>
          <w:p>
            <w:r>
              <w:rPr>
                <w:b/>
                <w:bCs/>
                <w:color w:val="FFFFFF"/>
                <w:sz w:val="20"/>
                <w:szCs w:val="20"/>
              </w:rPr>
              <w:t xml:space="preserve">ROC-AUC</w:t>
            </w:r>
          </w:p>
        </w:tc>
        <w:tc>
          <w:tcPr>
            <w:tcW w:type="dxa" w:w="3800"/>
            <w:shd w:fill="1F4E5C" w:val="clear"/>
            <w:tcMar>
              <w:top w:type="dxa" w:w="80"/>
              <w:left w:type="dxa" w:w="120"/>
              <w:bottom w:type="dxa" w:w="80"/>
              <w:right w:type="dxa" w:w="120"/>
            </w:tcMar>
            <w:vAlign w:val="center"/>
          </w:tcPr>
          <w:p>
            <w:r>
              <w:rPr>
                <w:b/>
                <w:bCs/>
                <w:color w:val="FFFFFF"/>
                <w:sz w:val="20"/>
                <w:szCs w:val="20"/>
              </w:rPr>
              <w:t xml:space="preserve">Note</w:t>
            </w:r>
          </w:p>
        </w:tc>
      </w:tr>
      <w:tr>
        <w:tc>
          <w:tcPr>
            <w:tcW w:type="dxa" w:w="2600"/>
            <w:tcMar>
              <w:top w:type="dxa" w:w="80"/>
              <w:left w:type="dxa" w:w="120"/>
              <w:bottom w:type="dxa" w:w="80"/>
              <w:right w:type="dxa" w:w="120"/>
            </w:tcMar>
            <w:vAlign w:val="center"/>
          </w:tcPr>
          <w:p>
            <w:r>
              <w:rPr>
                <w:b w:val="false"/>
                <w:bCs w:val="false"/>
                <w:color w:val="000000"/>
                <w:sz w:val="20"/>
                <w:szCs w:val="20"/>
              </w:rPr>
              <w:t xml:space="preserve">Diabetes</w:t>
            </w:r>
          </w:p>
        </w:tc>
        <w:tc>
          <w:tcPr>
            <w:tcW w:type="dxa" w:w="2400"/>
            <w:tcMar>
              <w:top w:type="dxa" w:w="80"/>
              <w:left w:type="dxa" w:w="120"/>
              <w:bottom w:type="dxa" w:w="80"/>
              <w:right w:type="dxa" w:w="120"/>
            </w:tcMar>
            <w:vAlign w:val="center"/>
          </w:tcPr>
          <w:p>
            <w:r>
              <w:rPr>
                <w:b w:val="false"/>
                <w:bCs w:val="false"/>
                <w:color w:val="000000"/>
                <w:sz w:val="20"/>
                <w:szCs w:val="20"/>
              </w:rPr>
              <w:t xml:space="preserve">68.5%</w:t>
            </w:r>
          </w:p>
        </w:tc>
        <w:tc>
          <w:tcPr>
            <w:tcW w:type="dxa" w:w="1800"/>
            <w:tcMar>
              <w:top w:type="dxa" w:w="80"/>
              <w:left w:type="dxa" w:w="120"/>
              <w:bottom w:type="dxa" w:w="80"/>
              <w:right w:type="dxa" w:w="120"/>
            </w:tcMar>
            <w:vAlign w:val="center"/>
          </w:tcPr>
          <w:p>
            <w:r>
              <w:rPr>
                <w:b w:val="false"/>
                <w:bCs w:val="false"/>
                <w:color w:val="000000"/>
                <w:sz w:val="20"/>
                <w:szCs w:val="20"/>
              </w:rPr>
              <w:t xml:space="preserve">0.83</w:t>
            </w:r>
          </w:p>
        </w:tc>
        <w:tc>
          <w:tcPr>
            <w:tcW w:type="dxa" w:w="3800"/>
            <w:tcMar>
              <w:top w:type="dxa" w:w="80"/>
              <w:left w:type="dxa" w:w="120"/>
              <w:bottom w:type="dxa" w:w="80"/>
              <w:right w:type="dxa" w:w="120"/>
            </w:tcMar>
            <w:vAlign w:val="center"/>
          </w:tcPr>
          <w:p>
            <w:r>
              <w:rPr>
                <w:b w:val="false"/>
                <w:bCs w:val="false"/>
                <w:color w:val="000000"/>
                <w:sz w:val="20"/>
                <w:szCs w:val="20"/>
              </w:rPr>
              <w:t xml:space="preserve">Strong and stable performance</w:t>
            </w:r>
          </w:p>
        </w:tc>
      </w:tr>
      <w:tr>
        <w:tc>
          <w:tcPr>
            <w:tcW w:type="dxa" w:w="2600"/>
            <w:shd w:fill="EAF1F3" w:val="clear"/>
            <w:tcMar>
              <w:top w:type="dxa" w:w="80"/>
              <w:left w:type="dxa" w:w="120"/>
              <w:bottom w:type="dxa" w:w="80"/>
              <w:right w:type="dxa" w:w="120"/>
            </w:tcMar>
            <w:vAlign w:val="center"/>
          </w:tcPr>
          <w:p>
            <w:r>
              <w:rPr>
                <w:b w:val="false"/>
                <w:bCs w:val="false"/>
                <w:color w:val="000000"/>
                <w:sz w:val="20"/>
                <w:szCs w:val="20"/>
              </w:rPr>
              <w:t xml:space="preserve">Coronary Heart Disease</w:t>
            </w:r>
          </w:p>
        </w:tc>
        <w:tc>
          <w:tcPr>
            <w:tcW w:type="dxa" w:w="2400"/>
            <w:shd w:fill="EAF1F3" w:val="clear"/>
            <w:tcMar>
              <w:top w:type="dxa" w:w="80"/>
              <w:left w:type="dxa" w:w="120"/>
              <w:bottom w:type="dxa" w:w="80"/>
              <w:right w:type="dxa" w:w="120"/>
            </w:tcMar>
            <w:vAlign w:val="center"/>
          </w:tcPr>
          <w:p>
            <w:r>
              <w:rPr>
                <w:b w:val="false"/>
                <w:bCs w:val="false"/>
                <w:color w:val="000000"/>
                <w:sz w:val="20"/>
                <w:szCs w:val="20"/>
              </w:rPr>
              <w:t xml:space="preserve">Threshold-dependent</w:t>
            </w:r>
          </w:p>
        </w:tc>
        <w:tc>
          <w:tcPr>
            <w:tcW w:type="dxa" w:w="1800"/>
            <w:shd w:fill="EAF1F3" w:val="clear"/>
            <w:tcMar>
              <w:top w:type="dxa" w:w="80"/>
              <w:left w:type="dxa" w:w="120"/>
              <w:bottom w:type="dxa" w:w="80"/>
              <w:right w:type="dxa" w:w="120"/>
            </w:tcMar>
            <w:vAlign w:val="center"/>
          </w:tcPr>
          <w:p>
            <w:r>
              <w:rPr>
                <w:b w:val="false"/>
                <w:bCs w:val="false"/>
                <w:color w:val="000000"/>
                <w:sz w:val="20"/>
                <w:szCs w:val="20"/>
              </w:rPr>
              <w:t xml:space="preserve">0.70 – 0.73</w:t>
            </w:r>
          </w:p>
        </w:tc>
        <w:tc>
          <w:tcPr>
            <w:tcW w:type="dxa" w:w="3800"/>
            <w:shd w:fill="EAF1F3" w:val="clear"/>
            <w:tcMar>
              <w:top w:type="dxa" w:w="80"/>
              <w:left w:type="dxa" w:w="120"/>
              <w:bottom w:type="dxa" w:w="80"/>
              <w:right w:type="dxa" w:w="120"/>
            </w:tcMar>
            <w:vAlign w:val="center"/>
          </w:tcPr>
          <w:p>
            <w:r>
              <w:rPr>
                <w:b w:val="false"/>
                <w:bCs w:val="false"/>
                <w:color w:val="000000"/>
                <w:sz w:val="20"/>
                <w:szCs w:val="20"/>
              </w:rPr>
              <w:t xml:space="preserve">Consistent with published studies</w:t>
            </w:r>
          </w:p>
        </w:tc>
      </w:tr>
      <w:tr>
        <w:tc>
          <w:tcPr>
            <w:tcW w:type="dxa" w:w="2600"/>
            <w:tcMar>
              <w:top w:type="dxa" w:w="80"/>
              <w:left w:type="dxa" w:w="120"/>
              <w:bottom w:type="dxa" w:w="80"/>
              <w:right w:type="dxa" w:w="120"/>
            </w:tcMar>
            <w:vAlign w:val="center"/>
          </w:tcPr>
          <w:p>
            <w:r>
              <w:rPr>
                <w:b w:val="false"/>
                <w:bCs w:val="false"/>
                <w:color w:val="000000"/>
                <w:sz w:val="20"/>
                <w:szCs w:val="20"/>
              </w:rPr>
              <w:t xml:space="preserve">Stroke</w:t>
            </w:r>
          </w:p>
        </w:tc>
        <w:tc>
          <w:tcPr>
            <w:tcW w:type="dxa" w:w="2400"/>
            <w:tcMar>
              <w:top w:type="dxa" w:w="80"/>
              <w:left w:type="dxa" w:w="120"/>
              <w:bottom w:type="dxa" w:w="80"/>
              <w:right w:type="dxa" w:w="120"/>
            </w:tcMar>
            <w:vAlign w:val="center"/>
          </w:tcPr>
          <w:p>
            <w:r>
              <w:rPr>
                <w:b w:val="false"/>
                <w:bCs w:val="false"/>
                <w:color w:val="000000"/>
                <w:sz w:val="20"/>
                <w:szCs w:val="20"/>
              </w:rPr>
              <w:t xml:space="preserve">82% (custom threshold)</w:t>
            </w:r>
          </w:p>
        </w:tc>
        <w:tc>
          <w:tcPr>
            <w:tcW w:type="dxa" w:w="1800"/>
            <w:tcMar>
              <w:top w:type="dxa" w:w="80"/>
              <w:left w:type="dxa" w:w="120"/>
              <w:bottom w:type="dxa" w:w="80"/>
              <w:right w:type="dxa" w:w="120"/>
            </w:tcMar>
            <w:vAlign w:val="center"/>
          </w:tcPr>
          <w:p>
            <w:r>
              <w:rPr>
                <w:b w:val="false"/>
                <w:bCs w:val="false"/>
                <w:color w:val="000000"/>
                <w:sz w:val="20"/>
                <w:szCs w:val="20"/>
              </w:rPr>
              <w:t xml:space="preserve">PR-AUC = 0.28 (5.7× random)</w:t>
            </w:r>
          </w:p>
        </w:tc>
        <w:tc>
          <w:tcPr>
            <w:tcW w:type="dxa" w:w="3800"/>
            <w:tcMar>
              <w:top w:type="dxa" w:w="80"/>
              <w:left w:type="dxa" w:w="120"/>
              <w:bottom w:type="dxa" w:w="80"/>
              <w:right w:type="dxa" w:w="120"/>
            </w:tcMar>
            <w:vAlign w:val="center"/>
          </w:tcPr>
          <w:p>
            <w:r>
              <w:rPr>
                <w:b w:val="false"/>
                <w:bCs w:val="false"/>
                <w:color w:val="000000"/>
                <w:sz w:val="20"/>
                <w:szCs w:val="20"/>
              </w:rPr>
              <w:t xml:space="preserve">Sensitive screening tool, not a final diagnosis</w:t>
            </w:r>
          </w:p>
        </w:tc>
      </w:tr>
      <w:tr>
        <w:tc>
          <w:tcPr>
            <w:tcW w:type="dxa" w:w="2600"/>
            <w:shd w:fill="EAF1F3" w:val="clear"/>
            <w:tcMar>
              <w:top w:type="dxa" w:w="80"/>
              <w:left w:type="dxa" w:w="120"/>
              <w:bottom w:type="dxa" w:w="80"/>
              <w:right w:type="dxa" w:w="120"/>
            </w:tcMar>
            <w:vAlign w:val="center"/>
          </w:tcPr>
          <w:p>
            <w:r>
              <w:rPr>
                <w:b w:val="false"/>
                <w:bCs w:val="false"/>
                <w:color w:val="000000"/>
                <w:sz w:val="20"/>
                <w:szCs w:val="20"/>
              </w:rPr>
              <w:t xml:space="preserve">Chronic Kidney Disease</w:t>
            </w:r>
          </w:p>
        </w:tc>
        <w:tc>
          <w:tcPr>
            <w:tcW w:type="dxa" w:w="2400"/>
            <w:shd w:fill="EAF1F3" w:val="clear"/>
            <w:tcMar>
              <w:top w:type="dxa" w:w="80"/>
              <w:left w:type="dxa" w:w="120"/>
              <w:bottom w:type="dxa" w:w="80"/>
              <w:right w:type="dxa" w:w="120"/>
            </w:tcMar>
            <w:vAlign w:val="center"/>
          </w:tcPr>
          <w:p>
            <w:r>
              <w:rPr>
                <w:b w:val="false"/>
                <w:bCs w:val="false"/>
                <w:color w:val="000000"/>
                <w:sz w:val="20"/>
                <w:szCs w:val="20"/>
              </w:rPr>
              <w:t xml:space="preserve">96% (basic data only)</w:t>
            </w:r>
          </w:p>
        </w:tc>
        <w:tc>
          <w:tcPr>
            <w:tcW w:type="dxa" w:w="1800"/>
            <w:shd w:fill="EAF1F3" w:val="clear"/>
            <w:tcMar>
              <w:top w:type="dxa" w:w="80"/>
              <w:left w:type="dxa" w:w="120"/>
              <w:bottom w:type="dxa" w:w="80"/>
              <w:right w:type="dxa" w:w="120"/>
            </w:tcMar>
            <w:vAlign w:val="center"/>
          </w:tcPr>
          <w:p>
            <w:r>
              <w:rPr>
                <w:b w:val="false"/>
                <w:bCs w:val="false"/>
                <w:color w:val="000000"/>
                <w:sz w:val="20"/>
                <w:szCs w:val="20"/>
              </w:rPr>
              <w:t xml:space="preserve">99.27% accuracy</w:t>
            </w:r>
          </w:p>
        </w:tc>
        <w:tc>
          <w:tcPr>
            <w:tcW w:type="dxa" w:w="3800"/>
            <w:shd w:fill="EAF1F3" w:val="clear"/>
            <w:tcMar>
              <w:top w:type="dxa" w:w="80"/>
              <w:left w:type="dxa" w:w="120"/>
              <w:bottom w:type="dxa" w:w="80"/>
              <w:right w:type="dxa" w:w="120"/>
            </w:tcMar>
            <w:vAlign w:val="center"/>
          </w:tcPr>
          <w:p>
            <w:r>
              <w:rPr>
                <w:b w:val="false"/>
                <w:bCs w:val="false"/>
                <w:color w:val="000000"/>
                <w:sz w:val="20"/>
                <w:szCs w:val="20"/>
              </w:rPr>
              <w:t xml:space="preserve">Works even with limited information</w:t>
            </w:r>
          </w:p>
        </w:tc>
      </w:tr>
    </w:tbl>
    <w:p>
      <w:pPr>
        <w:pStyle w:val="Heading1"/>
        <w:spacing w:after="160" w:before="320"/>
      </w:pPr>
      <w:r>
        <w:t xml:space="preserve">7. Added Value of Our Project</w:t>
      </w:r>
    </w:p>
    <w:p>
      <w:pPr>
        <w:spacing w:after="160"/>
      </w:pPr>
      <w:r>
        <w:t xml:space="preserve">What sets our project apart is not just the accuracy numbers, but the methodological care behind how it was built:</w:t>
      </w:r>
    </w:p>
    <w:p>
      <w:pPr>
        <w:pStyle w:val="ListParagraph"/>
        <w:numPr>
          <w:ilvl w:val="0"/>
          <w:numId w:val="1"/>
        </w:numPr>
        <w:spacing w:after="80"/>
      </w:pPr>
      <w:r>
        <w:t xml:space="preserve">We did not settle for training models — we deeply understood the limitations of each dataset and diagnosed the reason behind each result before fixing it.</w:t>
      </w:r>
    </w:p>
    <w:p>
      <w:pPr>
        <w:pStyle w:val="ListParagraph"/>
        <w:numPr>
          <w:ilvl w:val="0"/>
          <w:numId w:val="1"/>
        </w:numPr>
        <w:spacing w:after="80"/>
      </w:pPr>
      <w:r>
        <w:t xml:space="preserve">We used the right evaluation metric for each situation (e.g., PR-AUC for severe imbalance) instead of relying blindly on accuracy.</w:t>
      </w:r>
    </w:p>
    <w:p>
      <w:pPr>
        <w:pStyle w:val="ListParagraph"/>
        <w:numPr>
          <w:ilvl w:val="0"/>
          <w:numId w:val="1"/>
        </w:numPr>
        <w:spacing w:after="80"/>
      </w:pPr>
      <w:r>
        <w:t xml:space="preserve">We built a transparent interpretation layer (SHAP) for every decision, not just every result — giving the doctor an understandable, justified reason for each recommendation.</w:t>
      </w:r>
    </w:p>
    <w:p>
      <w:pPr>
        <w:pStyle w:val="ListParagraph"/>
        <w:numPr>
          <w:ilvl w:val="0"/>
          <w:numId w:val="1"/>
        </w:numPr>
        <w:spacing w:after="80"/>
      </w:pPr>
      <w:r>
        <w:t xml:space="preserve">We designed the system to work with limited information — the core idea of scalability in resource-limited regions, which is exactly what the problem statement calls for.</w:t>
      </w:r>
    </w:p>
    <w:p>
      <w:pPr>
        <w:pStyle w:val="ListParagraph"/>
        <w:numPr>
          <w:ilvl w:val="0"/>
          <w:numId w:val="1"/>
        </w:numPr>
        <w:spacing w:after="80"/>
      </w:pPr>
      <w:r>
        <w:t xml:space="preserve">The system is now ready to move to the next phase: a dashboard that brings together the four models' outputs with a clinical recommendation layer, guiding the doctor toward missing tests and referral decisions for each patient.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2026-08-01T09:42:52.821Z</dcterms:created>
  <dcterms:modified xsi:type="dcterms:W3CDTF">2026-08-01T09:42:52.834Z</dcterms:modified>
</cp:coreProperties>
</file>

<file path=docProps/custom.xml><?xml version="1.0" encoding="utf-8"?>
<Properties xmlns="http://schemas.openxmlformats.org/officeDocument/2006/custom-properties" xmlns:vt="http://schemas.openxmlformats.org/officeDocument/2006/docPropsVTypes"/>
</file>