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[DATE]</w:t>
      </w:r>
    </w:p>
    <w:p>
      <w:r>
        <w:t>Editor-in-Chief</w:t>
        <w:br/>
        <w:t>IEEE Transactions on Smart Grid</w:t>
      </w:r>
    </w:p>
    <w:p>
      <w:r>
        <w:t>Re: Submission of “Attributing AC/DC Boundary Value in Active Low-Voltage Distribution Planning”</w:t>
      </w:r>
    </w:p>
    <w:p>
      <w:r>
        <w:t>Dear Editor-in-Chief:</w:t>
      </w:r>
    </w:p>
    <w:p>
      <w:r>
        <w:t>Please consider the enclosed manuscript for publication in IEEE Transactions on Smart Grid. The study asks when a modern low-voltage feeder should introduce a DC subtree after controlling for topology and conductor redesign. Its contribution is a matched architecture-attribution framework rather than a claim that AC/DC state optimization is new.</w:t>
      </w:r>
    </w:p>
    <w:p>
      <w:r>
        <w:t>Across three public SimBench feeders, the central realistic-converter comparison changed modeled annual loss by -11.17% relative to conductor-optimized AC, while preserving all-AC whenever it remained preferred. The paper emphasizes active-distribution relevance through DER/EV stress portfolios and conditional architecture transitions. It explicitly limits claims concerning protection, reliability, observed infrastructure, and absolute economics.</w:t>
      </w:r>
    </w:p>
    <w:p>
      <w:r>
        <w:t>The complete analysis is configuration-driven. Public source objects are retained with checksums and licenses, and every manuscript number maps to a machine-readable registry. The work is original and is not under consideration elsewhere, subject to confirmation by all authors.</w:t>
      </w:r>
    </w:p>
    <w:p>
      <w:r>
        <w:t>[AUTHORSHIP, PRIOR PUBLICATION, FUNDING, CONFLICT-OF-INTEREST, ORCID, AND CONTACT DECLARATIONS MUST BE COMPLETED BY THE AUTHORS.]</w:t>
      </w:r>
    </w:p>
    <w:p>
      <w:r>
        <w:t>Sincerely,</w:t>
        <w:br/>
        <w:t>[CORRESPONDING AUTHOR]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