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rPr>
          <w:b w:val="0"/>
        </w:rPr>
        <w:t>A boundary's price inside representation is a measurable estimand.</w:t>
      </w:r>
    </w:p>
    <w:p>
      <w:r>
        <w:rPr>
          <w:b w:val="0"/>
        </w:rPr>
        <w:t>Kyoto–Shiga: the closest prefectural-government-office pair in Japan.</w:t>
      </w:r>
    </w:p>
    <w:p>
      <w:r>
        <w:rPr>
          <w:b w:val="0"/>
        </w:rPr>
        <w:t>Border cost: bounded at municipality scale; zero among best-found maps.</w:t>
      </w:r>
    </w:p>
    <w:p>
      <w:r>
        <w:rPr>
          <w:b w:val="0"/>
        </w:rPr>
        <w:t>The real border crosses less commuting flow than all 200 placebos.</w:t>
      </w:r>
    </w:p>
    <w:p>
      <w:r>
        <w:rPr>
          <w:b w:val="0"/>
        </w:rPr>
        <w:t>Visible administrative–functional mismatch did not imply inefficiency.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