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Institutionally divided, functionally entangled: the price of an inherited prefectural boundary in electoral districting, Kyoto–Shiga, Japan</w:t>
      </w:r>
    </w:p>
    <w:p>
      <w:pPr>
        <w:pStyle w:val="Heading1"/>
      </w:pPr>
      <w:r>
        <w:t>Highlights</w:t>
      </w:r>
    </w:p>
    <w:p>
      <w:r>
        <w:rPr>
          <w:b w:val="0"/>
        </w:rPr>
        <w:t>- A boundary's price inside representation is a measurable estimand.</w:t>
      </w:r>
    </w:p>
    <w:p>
      <w:r>
        <w:rPr>
          <w:b w:val="0"/>
        </w:rPr>
        <w:t>- Kyoto–Shiga: the closest prefectural-government-office pair in Japan.</w:t>
      </w:r>
    </w:p>
    <w:p>
      <w:r>
        <w:rPr>
          <w:b w:val="0"/>
        </w:rPr>
        <w:t>- Border cost: bounded at municipality scale; zero among best-found maps.</w:t>
      </w:r>
    </w:p>
    <w:p>
      <w:r>
        <w:rPr>
          <w:b w:val="0"/>
        </w:rPr>
        <w:t>- The real border crosses less commuting flow than all 200 placebos.</w:t>
      </w:r>
    </w:p>
    <w:p>
      <w:r>
        <w:rPr>
          <w:b w:val="0"/>
        </w:rPr>
        <w:t>- Visible administrative–functional mismatch did not imply inefficiency.</w:t>
      </w:r>
    </w:p>
    <w:p>
      <w:pPr>
        <w:pStyle w:val="Heading1"/>
      </w:pPr>
      <w:r>
        <w:t>Abstract</w:t>
      </w:r>
    </w:p>
    <w:p>
      <w:r>
        <w:rPr>
          <w:b w:val="0"/>
        </w:rPr>
        <w:t xml:space="preserve">States organize representation inside inherited territorial containers whose boundaries rarely track the geographies people actually live in. Political geography has long theorized the boundary as a durable institution that outlives the functional world it divides; what is rarely asked is what such a boundary </w:t>
      </w:r>
      <w:r>
        <w:rPr>
          <w:b w:val="0"/>
          <w:i/>
        </w:rPr>
        <w:t>costs</w:t>
      </w:r>
      <w:r>
        <w:rPr>
          <w:b w:val="0"/>
        </w:rPr>
        <w:t xml:space="preserve"> inside a specific territorial system. This paper prices one. For electoral districting — a representation system with explicit legal objectives and, in Japan, a hard statutory rule that House of Representatives districts not straddle prefectural boundaries — the estimand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inherited line. The Kyoto–Shiga border is the test bed: it separates the two closest prefectural government offices in Japan by geodesic distance (10.5 km), bisects a commuting field carrying 79,466 daily cross-prefecture trips (2020 census), and tops its prefecture's borders on a pre-specified normalized entanglement measure — although Osaka dominates raw volume, a comparison we report in full. Solving matched problems at two spatial resolutions, we find the true constraint cost is bounded but not tightly identified at municipality scale ([0, 532,293] objective units) and zero among best-found small-area maps. The real border crosses fewer trips (39,733) than all 200 matched placebo borders. A conspicuous territorial mismatch thus carried a small measured price: institutional boundaries deserve evaluation against their opportunity cost, not presumptive harmonization.</w:t>
      </w:r>
    </w:p>
    <w:p>
      <w:r>
        <w:rPr>
          <w:b/>
        </w:rPr>
        <w:t>Keywords:</w:t>
      </w:r>
      <w:r>
        <w:rPr>
          <w:b w:val="0"/>
        </w:rPr>
        <w:t xml:space="preserve"> territory; administrative boundaries; electoral geography; functional connectivity; spatial optimization; Japan</w:t>
      </w:r>
    </w:p>
    <w:p>
      <w:pPr>
        <w:pStyle w:val="Heading1"/>
      </w:pPr>
      <w:r>
        <w:t>1. Introduction</w:t>
      </w:r>
    </w:p>
    <w:p>
      <w:r>
        <w:rPr>
          <w:b w:val="0"/>
        </w:rPr>
        <w:t>Representation in democracies is organized through territory. The districts through which citizens elect legislators, the prefectures within which those districts are drawn, the service regions through which states deliver health, schooling and emergency coverage — all are inherited spatial containers, drawn at particular moments of institutional history and subsequently reproduced as administrative fact (Agnew, 1994; Elden, 2013). Political geography has long insisted that such boundaries are not neutral lines but durable institutions: they persist, are narrated into common sense, and organize political life long after the conditions that produced them have changed (Newman and Paasi, 1998; Paasi, 2009; Painter, 2010). Meanwhile, the functional geographies of daily life — commuting fields, market areas, school destinations — routinely cross those institutional lines, producing the overlapping, mismatched territorial systems in which most public life actually takes place (OECD, 2012).</w:t>
      </w:r>
    </w:p>
    <w:p>
      <w:r>
        <w:rPr>
          <w:b w:val="0"/>
        </w:rPr>
        <w:t xml:space="preserve">Yet a second literature, quantitative electoral geography, has grown up measuring the </w:t>
      </w:r>
      <w:r>
        <w:rPr>
          <w:b w:val="0"/>
          <w:i/>
        </w:rPr>
        <w:t>inside</w:t>
      </w:r>
      <w:r>
        <w:rPr>
          <w:b w:val="0"/>
        </w:rPr>
        <w:t xml:space="preserve"> of those containers: compactness, population equality, contiguity, partisan symmetry, ensemble baselines (Taylor and Johnston, 1979; Mehrotra et al., 1998; Ricca et al., 2013; Tam Cho and Liu, 2016; DeFord et al., 2021; Herschlag et al., 2020; Duchin and Tenner, 2024). The computational tools that now interrogate district maps have made the geometry of representation itself an object of measurement — and Political Geography has been a venue for exactly this convergence of computational method and territorial politics (Duchin and Tenner, 2024). What neither tradition has supplied is a measurement of the container itself: the inherited administrative boundary that statutory representation systems are required to respect is almost always treated as a fixed feature of the problem, not as a costed object of study.</w:t>
      </w:r>
    </w:p>
    <w:p>
      <w:r>
        <w:rPr>
          <w:b w:val="0"/>
        </w:rPr>
        <w:t xml:space="preserve">This paper prices such a boundary. Requiring a representation system to respect an inherited line is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the boundary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Whether the inherited boundary is cheap or expensive for the function trapped inside it is then an empirical question — one that administrative processes almost never make answerable, because they never produce the paired plans the estimand requires.</w:t>
      </w:r>
    </w:p>
    <w:p>
      <w:r>
        <w:rPr>
          <w:b w:val="0"/>
        </w:rPr>
        <w:t xml:space="preserve">Electoral districting supplies an unusually clean test bed, for three reasons. First, it is a spatial public-sector design problem with explicit, legally grounded objectives — population equality, contiguity, compactness, municipal coherence (Polsby and Popper, 1991; Ricca et al., 2013) — so the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defined by law and convention rather than invented for the exercise. Second, Japan provides a hard version of the constraint: since the 1994 introduction of single-member districts for the House of Representatives, districts have been allocated and delimited within each prefecture, so no district contains territory of two prefectures (Public Offices Election Act, 1950/2022). The prefectural boundary is therefore not a soft preference but a statutory wall inside the representation system. Third, matched ON/OFF solves can isolate the constraint's price with everything else — data, optimizer, tolerance, weights — held constant.</w:t>
      </w:r>
    </w:p>
    <w:p>
      <w:r>
        <w:rPr>
          <w:b w:val="0"/>
        </w:rPr>
        <w:t>The Kyoto–Shiga prefectural boundary in Japan's Kinki region was deliberately selected as a case of exceptional institutional proximity and multilayer cross-border entanglement, under pre-specified criteria and reported in full in Section 4.6 (the complete comparison, including comparisons unfavourable to the pair, is retained in the analysis). The two prefectural government offices sit 10.5 km apart — the closest such pair in Japan by geodesic distance — separated by roughly 10 minutes of commuter rail; the border crosses an exceptionally proximate and functionally connected cross-border setting linked by 79,466 daily cross-prefecture commuting and schooling trips (Ministry of Internal Affairs and Communications, 2020a). The entanglement is institutionalized beyond transport: a RIETI–Kyoto University study treated the "Keiji" (Kyoto–Shiga) corridor as a single industrial cluster; professional organizations, newspaper circulation and even Kyoto's own water supply, drawn from Lake Biwa at Ōtsu through a city-owned canal since 1890, organize themselves across the line. The two prefectures are thus institutionally separate yet functionally entangled within a wider polycentric regional system.</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(Openshaw and Taylor, 1979).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the conceptual contribution — we document and verify the case-selection itself: the paper shows not only how to price a boundary but how to justify, without cherry-picking, which boundary to price. All data, code, and provenance are public, and the pipeline regenerates every reported number end-to-end.</w:t>
      </w:r>
    </w:p>
    <w:p>
      <w:r>
        <w:rPr>
          <w:b w:val="0"/>
        </w:rPr>
        <w:t>We emphasize scope. This is a measurement paper about one territorial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respecting the inherited boundary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functions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(Ministry of Internal Affairs and Communications, 2020b). Statutory representation allocates 6 single-member districts to Kyoto and 3 to Shiga (K = 9; Figure 1) (Public Offices Election Act, 1950/2022).</w:t>
      </w:r>
    </w:p>
    <w:p>
      <w:r>
        <w:rPr>
          <w:b/>
          <w:sz w:val="20"/>
        </w:rPr>
        <w:t>Figure 1. Study region: Kyoto-fu and Shiga-ken, census small areas (JGD2011).</w:t>
      </w:r>
    </w:p>
    <w:p>
      <w:r>
        <w:drawing>
          <wp:inline xmlns:a="http://schemas.openxmlformats.org/drawingml/2006/main" xmlns:pic="http://schemas.openxmlformats.org/drawingml/2006/picture">
            <wp:extent cx="5486400" cy="4772998"/>
            <wp:docPr id="1" name="Picture 1"/>
            <wp:cNvGraphicFramePr>
              <a:graphicFrameLocks noChangeAspect="1"/>
            </wp:cNvGraphicFramePr>
            <a:graphic>
              <a:graphicData uri="http://schemas.openxmlformats.org/drawingml/2006/picture">
                <pic:pic>
                  <pic:nvPicPr>
                    <pic:cNvPr id="0" name="F1_study_area.png"/>
                    <pic:cNvPicPr/>
                  </pic:nvPicPr>
                  <pic:blipFill>
                    <a:blip r:embed="rId9"/>
                    <a:stretch>
                      <a:fillRect/>
                    </a:stretch>
                  </pic:blipFill>
                  <pic:spPr>
                    <a:xfrm>
                      <a:off x="0" y="0"/>
                      <a:ext cx="5486400" cy="4772998"/>
                    </a:xfrm>
                    <a:prstGeom prst="rect"/>
                  </pic:spPr>
                </pic:pic>
              </a:graphicData>
            </a:graphic>
          </wp:inline>
        </w:drawing>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(Ministry of Internal Affairs and Communications, 2020b); (ii) 2020 Census Table 6-1 municipality×municipality commuting/schooling origin–destination (OD) matrices, at ward resolution for Kyoto City and prefecture resolution for the comparative case-selection analysis (Ministry of Internal Affairs and Communications, 2020a); (iii) IPSS 2023 municipal population projections to 2050 (National Institute of Population and Social Security Research, 2023); (iv) the statutory district definition from the Public Offices Election Act (e-Gov law API) and the Ministry of Internal Affairs district map (Public Offices Election Act, 1950/2022).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sz w:val="20"/>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rPr>
              <w:t>dataset</w:t>
            </w:r>
          </w:p>
        </w:tc>
        <w:tc>
          <w:tcPr>
            <w:tcW w:type="dxa" w:w="2160"/>
          </w:tcPr>
          <w:p>
            <w:r>
              <w:rPr>
                <w:b w:val="0"/>
              </w:rPr>
              <w:t>source</w:t>
            </w:r>
          </w:p>
        </w:tc>
        <w:tc>
          <w:tcPr>
            <w:tcW w:type="dxa" w:w="2160"/>
          </w:tcPr>
          <w:p>
            <w:r>
              <w:rPr>
                <w:b w:val="0"/>
              </w:rPr>
              <w:t>raw path</w:t>
            </w:r>
          </w:p>
        </w:tc>
        <w:tc>
          <w:tcPr>
            <w:tcW w:type="dxa" w:w="2160"/>
          </w:tcPr>
          <w:p>
            <w:r>
              <w:rPr>
                <w:b w:val="0"/>
              </w:rP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(Perron and Furnon, 2022)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2"/>
      </w:pPr>
      <w:r>
        <w:t>3.5 Case-selection protocol</w:t>
      </w:r>
    </w:p>
    <w:p>
      <w:r>
        <w:rPr>
          <w:b w:val="0"/>
        </w:rPr>
        <w:t xml:space="preserve">Choosing a border to study is itself a selection decision with cherry-picking risk, so the comparison was specified before any ranking was computed (docs/CASE_SELECTION_ANALYSIS_FREEZE.md; full audit in docs/CASE_SELECTION_AUDIT.md). The comparison set was frozen to all five of Kyoto Prefecture's borders (Osaka, Shiga, Nara, Hyogo, Fukui), Shiga's remaining borders (Mie, Gifu, Fukui) and every remaining land-border adjacency among the comparator prefectures available in the same census release, 15 unordered pairs in total. Four measures were pre-specified: raw directional flows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and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raw bidirectional </w:t>
      </w:r>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r>
        <w:rPr>
          <w:b w:val="0"/>
        </w:rPr>
        <w:t xml:space="preserve">; a primary directional measure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num>
          <m:den>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i</m:t>
                </m:r>
              </m:sub>
            </m:sSub>
          </m:den>
        </m:f>
      </m:oMath>
      <w:r>
        <w:rPr>
          <w:b w:val="0"/>
        </w:rPr>
        <w:t xml:space="preserve"> (share of origin-prefecture commuters and students); and a primary symmetric intensity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num>
          <m:den>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sub>
            </m:sSub>
          </m:den>
        </m:f>
      </m:oMath>
      <w:r>
        <w:rPr>
          <w:b w:val="0"/>
        </w:rPr>
        <w:t xml:space="preserve"> normalized by combined prefecture population. Exploratory measures (external-share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x</m:t>
            </m:r>
            <m:r>
              <m:rPr>
                <m:sty m:val="i"/>
              </m:rPr>
              <w:rPr>
                <w:rFonts w:ascii="Times New Roman" w:hAnsi="Times New Roman" w:cs="Times New Roman" w:eastAsia="Times New Roman"/>
              </w:rPr>
              <m:t>t</m:t>
            </m:r>
          </m:sub>
        </m:sSub>
      </m:oMath>
      <w:r>
        <w:rPr>
          <w:b w:val="0"/>
        </w:rPr>
        <w:t xml:space="preserve">, geometric-mean normalization </w:t>
      </w:r>
      <m:oMath>
        <m:sSub>
          <m:e>
            <m:r>
              <m:rPr>
                <m:sty m:val="i"/>
              </m:rPr>
              <w:rPr>
                <w:rFonts w:ascii="Times New Roman" w:hAnsi="Times New Roman" w:cs="Times New Roman" w:eastAsia="Times New Roman"/>
              </w:rPr>
              <m:t>S</m:t>
            </m:r>
          </m:e>
          <m:sub>
            <m:r>
              <m:rPr>
                <m:sty m:val="p"/>
              </m:rPr>
              <w:rPr>
                <w:rFonts w:ascii="Times New Roman" w:hAnsi="Times New Roman" w:cs="Times New Roman" w:eastAsia="Times New Roman"/>
              </w:rPr>
              <m:t>2</m:t>
            </m:r>
          </m:sub>
        </m:sSub>
      </m:oMath>
      <w:r>
        <w:rPr>
          <w:b w:val="0"/>
        </w:rPr>
        <w:t>) were flagged as such. The protocol required every computed measure — including those unfavourable to the study pair — to be reported. Newly acquired origin-prefecture OD tables for Osaka, Hyogo, Nara, Fukui, Gifu, Mie and Wakayama (Ministry of Internal Affairs and Communications, 2020a) were added to the raw-data archive and checksum ledger under the same provenance rules as the existing inputs. The prefectural-government proximity claim was likewise verified from primary data rather than a secondary ranking: all 47 prefectural-government office locations were taken from the national public-facility register (Ministry of Land, Infrastructure, Transport and Tourism, 2006) and geodesic distances computed for all 1,081 unordered pairs on GRS80.</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sz w:val="20"/>
        </w:rPr>
        <w:t>Figure 2. Current statutory House-of-Representatives districts.</w:t>
      </w:r>
    </w:p>
    <w:p>
      <w:r>
        <w:drawing>
          <wp:inline xmlns:a="http://schemas.openxmlformats.org/drawingml/2006/main" xmlns:pic="http://schemas.openxmlformats.org/drawingml/2006/picture">
            <wp:extent cx="5486400" cy="4767336"/>
            <wp:docPr id="2" name="Picture 2"/>
            <wp:cNvGraphicFramePr>
              <a:graphicFrameLocks noChangeAspect="1"/>
            </wp:cNvGraphicFramePr>
            <a:graphic>
              <a:graphicData uri="http://schemas.openxmlformats.org/drawingml/2006/picture">
                <pic:pic>
                  <pic:nvPicPr>
                    <pic:cNvPr id="0" name="F2_current_map.png"/>
                    <pic:cNvPicPr/>
                  </pic:nvPicPr>
                  <pic:blipFill>
                    <a:blip r:embed="rId10"/>
                    <a:stretch>
                      <a:fillRect/>
                    </a:stretch>
                  </pic:blipFill>
                  <pic:spPr>
                    <a:xfrm>
                      <a:off x="0" y="0"/>
                      <a:ext cx="5486400" cy="4767336"/>
                    </a:xfrm>
                    <a:prstGeom prst="rect"/>
                  </pic:spPr>
                </pic:pic>
              </a:graphicData>
            </a:graphic>
          </wp:inline>
        </w:drawing>
      </w:r>
    </w:p>
    <w:p>
      <w:r>
        <w:rPr>
          <w:b/>
          <w:sz w:val="20"/>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level</w:t>
            </w:r>
          </w:p>
        </w:tc>
        <w:tc>
          <w:tcPr>
            <w:tcW w:type="dxa" w:w="1234"/>
          </w:tcPr>
          <w:p>
            <w:r>
              <w:rPr>
                <w:b w:val="0"/>
              </w:rPr>
              <w:t>map</w:t>
            </w:r>
          </w:p>
        </w:tc>
        <w:tc>
          <w:tcPr>
            <w:tcW w:type="dxa" w:w="1234"/>
          </w:tcPr>
          <w:p>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p>
        </w:tc>
        <w:tc>
          <w:tcPr>
            <w:tcW w:type="dxa" w:w="1234"/>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234"/>
          </w:tcPr>
          <w:p>
            <w:r>
              <w:rPr>
                <w:b w:val="0"/>
              </w:rPr>
              <w:t>PP</w:t>
            </w:r>
          </w:p>
        </w:tc>
        <w:tc>
          <w:tcPr>
            <w:tcW w:type="dxa" w:w="1234"/>
          </w:tcPr>
          <w:p>
            <w:r>
              <w:rPr>
                <w:b w:val="0"/>
              </w:rPr>
              <w:t>munis split</w:t>
            </w:r>
          </w:p>
        </w:tc>
        <w:tc>
          <w:tcPr>
            <w:tcW w:type="dxa" w:w="1234"/>
          </w:tcPr>
          <w:p>
            <w:r>
              <w:rPr>
                <w:b w:val="0"/>
              </w:rP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sz w:val="20"/>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rPr>
              <w:t>level</w:t>
            </w:r>
          </w:p>
        </w:tc>
        <w:tc>
          <w:tcPr>
            <w:tcW w:type="dxa" w:w="1080"/>
          </w:tcPr>
          <w:p>
            <w:r>
              <w:rPr>
                <w:b w:val="0"/>
              </w:rPr>
              <w:t>model</w:t>
            </w:r>
          </w:p>
        </w:tc>
        <w:tc>
          <w:tcPr>
            <w:tcW w:type="dxa" w:w="1080"/>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080"/>
          </w:tcPr>
          <w:p>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p>
        </w:tc>
        <w:tc>
          <w:tcPr>
            <w:tcW w:type="dxa" w:w="1080"/>
          </w:tcPr>
          <w:p>
            <w:r>
              <w:rPr>
                <w:b w:val="0"/>
              </w:rPr>
              <w:t>PP</w:t>
            </w:r>
          </w:p>
        </w:tc>
        <w:tc>
          <w:tcPr>
            <w:tcW w:type="dxa" w:w="1080"/>
          </w:tcPr>
          <w:p>
            <w:r>
              <w:rPr>
                <w:b w:val="0"/>
              </w:rPr>
              <w:t>munis split</w:t>
            </w:r>
          </w:p>
        </w:tc>
        <w:tc>
          <w:tcPr>
            <w:tcW w:type="dxa" w:w="1080"/>
          </w:tcPr>
          <w:p>
            <w:r>
              <w:rPr>
                <w:b w:val="0"/>
              </w:rPr>
              <w:t>severed</w:t>
            </w:r>
          </w:p>
        </w:tc>
        <w:tc>
          <w:tcPr>
            <w:tcW w:type="dxa" w:w="1080"/>
          </w:tcPr>
          <w:p>
            <w:r>
              <w:rPr>
                <w:b w:val="0"/>
              </w:rP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M3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bl>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r>
        <w:rPr>
          <w:b/>
          <w:sz w:val="20"/>
        </w:rPr>
        <w:t>Figure 3. Best-found maps with the border constraint ON vs OFF.</w:t>
      </w:r>
    </w:p>
    <w:p>
      <w:r>
        <w:drawing>
          <wp:inline xmlns:a="http://schemas.openxmlformats.org/drawingml/2006/main" xmlns:pic="http://schemas.openxmlformats.org/drawingml/2006/picture">
            <wp:extent cx="5486400" cy="2249298"/>
            <wp:docPr id="3" name="Picture 3"/>
            <wp:cNvGraphicFramePr>
              <a:graphicFrameLocks noChangeAspect="1"/>
            </wp:cNvGraphicFramePr>
            <a:graphic>
              <a:graphicData uri="http://schemas.openxmlformats.org/drawingml/2006/picture">
                <pic:pic>
                  <pic:nvPicPr>
                    <pic:cNvPr id="0" name="F3_optimal_on_off.png"/>
                    <pic:cNvPicPr/>
                  </pic:nvPicPr>
                  <pic:blipFill>
                    <a:blip r:embed="rId11"/>
                    <a:stretch>
                      <a:fillRect/>
                    </a:stretch>
                  </pic:blipFill>
                  <pic:spPr>
                    <a:xfrm>
                      <a:off x="0" y="0"/>
                      <a:ext cx="5486400" cy="2249298"/>
                    </a:xfrm>
                    <a:prstGeom prst="rect"/>
                  </pic:spPr>
                </pic:pic>
              </a:graphicData>
            </a:graphic>
          </wp:inline>
        </w:drawing>
      </w:r>
    </w:p>
    <w:p>
      <w:r>
        <w:rPr>
          <w:b/>
          <w:sz w:val="20"/>
        </w:rPr>
        <w:t>Figure 4. Cross-prefecture commuting/schooling OD network.</w:t>
      </w:r>
    </w:p>
    <w:p>
      <w:r>
        <w:drawing>
          <wp:inline xmlns:a="http://schemas.openxmlformats.org/drawingml/2006/main" xmlns:pic="http://schemas.openxmlformats.org/drawingml/2006/picture">
            <wp:extent cx="5486400" cy="4752784"/>
            <wp:docPr id="4" name="Picture 4"/>
            <wp:cNvGraphicFramePr>
              <a:graphicFrameLocks noChangeAspect="1"/>
            </wp:cNvGraphicFramePr>
            <a:graphic>
              <a:graphicData uri="http://schemas.openxmlformats.org/drawingml/2006/picture">
                <pic:pic>
                  <pic:nvPicPr>
                    <pic:cNvPr id="0" name="F4_flow_network.png"/>
                    <pic:cNvPicPr/>
                  </pic:nvPicPr>
                  <pic:blipFill>
                    <a:blip r:embed="rId12"/>
                    <a:stretch>
                      <a:fillRect/>
                    </a:stretch>
                  </pic:blipFill>
                  <pic:spPr>
                    <a:xfrm>
                      <a:off x="0" y="0"/>
                      <a:ext cx="5486400" cy="4752784"/>
                    </a:xfrm>
                    <a:prstGeom prst="rect"/>
                  </pic:spPr>
                </pic:pic>
              </a:graphicData>
            </a:graphic>
          </wp:inline>
        </w:drawing>
      </w:r>
    </w:p>
    <w:p>
      <w:r>
        <w:rPr>
          <w:b/>
          <w:sz w:val="20"/>
        </w:rPr>
        <w:t>Figure 5. Objective-component comparison, ON vs OFF.</w:t>
      </w:r>
    </w:p>
    <w:p>
      <w:r>
        <w:drawing>
          <wp:inline xmlns:a="http://schemas.openxmlformats.org/drawingml/2006/main" xmlns:pic="http://schemas.openxmlformats.org/drawingml/2006/picture">
            <wp:extent cx="5486400" cy="1462431"/>
            <wp:docPr id="5" name="Picture 5"/>
            <wp:cNvGraphicFramePr>
              <a:graphicFrameLocks noChangeAspect="1"/>
            </wp:cNvGraphicFramePr>
            <a:graphic>
              <a:graphicData uri="http://schemas.openxmlformats.org/drawingml/2006/picture">
                <pic:pic>
                  <pic:nvPicPr>
                    <pic:cNvPr id="0" name="F5_metric_comparison.png"/>
                    <pic:cNvPicPr/>
                  </pic:nvPicPr>
                  <pic:blipFill>
                    <a:blip r:embed="rId13"/>
                    <a:stretch>
                      <a:fillRect/>
                    </a:stretch>
                  </pic:blipFill>
                  <pic:spPr>
                    <a:xfrm>
                      <a:off x="0" y="0"/>
                      <a:ext cx="5486400" cy="1462431"/>
                    </a:xfrm>
                    <a:prstGeom prst="rect"/>
                  </pic:spPr>
                </pic:pic>
              </a:graphicData>
            </a:graphic>
          </wp:inline>
        </w:drawing>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r>
        <w:rPr>
          <w:b/>
          <w:sz w:val="20"/>
        </w:rPr>
        <w:t>Table 4. τ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m:oMath>
              <m:r>
                <m:rPr>
                  <m:sty m:val="i"/>
                </m:rPr>
                <w:rPr>
                  <w:rFonts w:ascii="Times New Roman" w:hAnsi="Times New Roman" w:cs="Times New Roman" w:eastAsia="Times New Roman"/>
                </w:rPr>
                <m:t>τ</m:t>
              </m:r>
            </m:oMath>
          </w:p>
        </w:tc>
        <w:tc>
          <w:tcPr>
            <w:tcW w:type="dxa" w:w="1440"/>
          </w:tcPr>
          <w:p>
            <w:r>
              <w:rPr>
                <w:b w:val="0"/>
              </w:rPr>
              <w:t>model</w:t>
            </w:r>
          </w:p>
        </w:tc>
        <w:tc>
          <w:tcPr>
            <w:tcW w:type="dxa" w:w="1440"/>
          </w:tcPr>
          <w:p>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p>
        </w:tc>
        <w:tc>
          <w:tcPr>
            <w:tcW w:type="dxa" w:w="1440"/>
          </w:tcPr>
          <w:p>
            <w:r>
              <w:rPr>
                <w:b w:val="0"/>
              </w:rPr>
              <w:t>PP</w:t>
            </w:r>
          </w:p>
        </w:tc>
        <w:tc>
          <w:tcPr>
            <w:tcW w:type="dxa" w:w="1440"/>
          </w:tcPr>
          <w:p>
            <w:r>
              <w:rPr>
                <w:b w:val="0"/>
              </w:rPr>
              <w:t>severed</w:t>
            </w:r>
          </w:p>
        </w:tc>
        <w:tc>
          <w:tcPr>
            <w:tcW w:type="dxa" w:w="1440"/>
          </w:tcPr>
          <w:p>
            <w:r>
              <w:rPr>
                <w:b w:val="0"/>
              </w:rP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r>
        <w:rPr>
          <w:b/>
          <w:sz w:val="20"/>
        </w:rPr>
        <w:t>Figure 6. Placebo-border cost distribution vs the real border.</w:t>
      </w:r>
    </w:p>
    <w:p>
      <w:r>
        <w:drawing>
          <wp:inline xmlns:a="http://schemas.openxmlformats.org/drawingml/2006/main" xmlns:pic="http://schemas.openxmlformats.org/drawingml/2006/picture">
            <wp:extent cx="5486400" cy="4026477"/>
            <wp:docPr id="6" name="Picture 6"/>
            <wp:cNvGraphicFramePr>
              <a:graphicFrameLocks noChangeAspect="1"/>
            </wp:cNvGraphicFramePr>
            <a:graphic>
              <a:graphicData uri="http://schemas.openxmlformats.org/drawingml/2006/picture">
                <pic:pic>
                  <pic:nvPicPr>
                    <pic:cNvPr id="0" name="F6_placebo.png"/>
                    <pic:cNvPicPr/>
                  </pic:nvPicPr>
                  <pic:blipFill>
                    <a:blip r:embed="rId14"/>
                    <a:stretch>
                      <a:fillRect/>
                    </a:stretch>
                  </pic:blipFill>
                  <pic:spPr>
                    <a:xfrm>
                      <a:off x="0" y="0"/>
                      <a:ext cx="5486400" cy="4026477"/>
                    </a:xfrm>
                    <a:prstGeom prst="rect"/>
                  </pic:spPr>
                </pic:pic>
              </a:graphicData>
            </a:graphic>
          </wp:inline>
        </w:drawing>
      </w:r>
    </w:p>
    <w:p>
      <w:r>
        <w:rPr>
          <w:b/>
          <w:sz w:val="20"/>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rPr>
                <w:b w:val="0"/>
              </w:rPr>
              <w:t>statistic</w:t>
            </w:r>
          </w:p>
        </w:tc>
        <w:tc>
          <w:tcPr>
            <w:tcW w:type="dxa" w:w="4320"/>
          </w:tcPr>
          <w:p>
            <w:r>
              <w:rPr>
                <w:b w:val="0"/>
              </w:rPr>
              <w:t>value</w:t>
            </w:r>
          </w:p>
        </w:tc>
      </w:tr>
      <w:tr>
        <w:tc>
          <w:tcPr>
            <w:tcW w:type="dxa" w:w="4320"/>
          </w:tcPr>
          <w:p>
            <w:r>
              <w:t>n</w:t>
            </w:r>
          </w:p>
        </w:tc>
        <w:tc>
          <w:tcPr>
            <w:tcW w:type="dxa" w:w="4320"/>
          </w:tcPr>
          <w:p>
            <w:r>
              <w:t>200</w:t>
            </w:r>
          </w:p>
        </w:tc>
      </w:tr>
      <w:tr>
        <w:tc>
          <w:tcPr>
            <w:tcW w:type="dxa" w:w="4320"/>
          </w:tcPr>
          <w:p>
            <w:r>
              <w:t>n generated</w:t>
            </w:r>
          </w:p>
        </w:tc>
        <w:tc>
          <w:tcPr>
            <w:tcW w:type="dxa" w:w="4320"/>
          </w:tcPr>
          <w:p>
            <w:r>
              <w:t>200</w:t>
            </w:r>
          </w:p>
        </w:tc>
      </w:tr>
      <w:tr>
        <w:tc>
          <w:tcPr>
            <w:tcW w:type="dxa" w:w="4320"/>
          </w:tcPr>
          <w:p>
            <w:r>
              <w:t>n feasible ON+OFF</w:t>
            </w:r>
          </w:p>
        </w:tc>
        <w:tc>
          <w:tcPr>
            <w:tcW w:type="dxa" w:w="4320"/>
          </w:tcPr>
          <w:p>
            <w:r>
              <w:t>78</w:t>
            </w:r>
          </w:p>
        </w:tc>
      </w:tr>
      <w:tr>
        <w:tc>
          <w:tcPr>
            <w:tcW w:type="dxa" w:w="4320"/>
          </w:tcPr>
          <w:p>
            <w:r>
              <w:t>n ON-infeasible (no incumbent found)</w:t>
            </w:r>
          </w:p>
        </w:tc>
        <w:tc>
          <w:tcPr>
            <w:tcW w:type="dxa" w:w="4320"/>
          </w:tcPr>
          <w:p>
            <w:r>
              <w:t>122</w:t>
            </w:r>
          </w:p>
        </w:tc>
      </w:tr>
      <w:tr>
        <w:tc>
          <w:tcPr>
            <w:tcW w:type="dxa" w:w="4320"/>
          </w:tcPr>
          <w:p>
            <w:r>
              <w:t>cost median (feasible)</w:t>
            </w:r>
          </w:p>
        </w:tc>
        <w:tc>
          <w:tcPr>
            <w:tcW w:type="dxa" w:w="4320"/>
          </w:tcPr>
          <w:p>
            <w:r>
              <w:t>0.0647</w:t>
            </w:r>
          </w:p>
        </w:tc>
      </w:tr>
      <w:tr>
        <w:tc>
          <w:tcPr>
            <w:tcW w:type="dxa" w:w="4320"/>
          </w:tcPr>
          <w:p>
            <w:r>
              <w:t>cost IQR (feasible)</w:t>
            </w:r>
          </w:p>
        </w:tc>
        <w:tc>
          <w:tcPr>
            <w:tcW w:type="dxa" w:w="4320"/>
          </w:tcPr>
          <w:p>
            <w:r>
              <w:t>0.0222 – 0.0727</w:t>
            </w:r>
          </w:p>
        </w:tc>
      </w:tr>
      <w:tr>
        <w:tc>
          <w:tcPr>
            <w:tcW w:type="dxa" w:w="4320"/>
          </w:tcPr>
          <w:p>
            <w:r>
              <w:t>cost p5–p95 (feasible)</w:t>
            </w:r>
          </w:p>
        </w:tc>
        <w:tc>
          <w:tcPr>
            <w:tcW w:type="dxa" w:w="4320"/>
          </w:tcPr>
          <w:p>
            <w:r>
              <w:t>-0.0041 – 0.0799</w:t>
            </w:r>
          </w:p>
        </w:tc>
      </w:tr>
    </w:tbl>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r>
        <w:rPr>
          <w:b/>
          <w:sz w:val="20"/>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sz w:val="20"/>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model</w:t>
            </w:r>
          </w:p>
        </w:tc>
        <w:tc>
          <w:tcPr>
            <w:tcW w:type="dxa" w:w="1234"/>
          </w:tcPr>
          <w:p>
            <w:r>
              <w:rPr>
                <w:b w:val="0"/>
              </w:rPr>
              <w:t>2025</w:t>
            </w:r>
          </w:p>
        </w:tc>
        <w:tc>
          <w:tcPr>
            <w:tcW w:type="dxa" w:w="1234"/>
          </w:tcPr>
          <w:p>
            <w:r>
              <w:rPr>
                <w:b w:val="0"/>
              </w:rPr>
              <w:t>2030</w:t>
            </w:r>
          </w:p>
        </w:tc>
        <w:tc>
          <w:tcPr>
            <w:tcW w:type="dxa" w:w="1234"/>
          </w:tcPr>
          <w:p>
            <w:r>
              <w:rPr>
                <w:b w:val="0"/>
              </w:rPr>
              <w:t>2035</w:t>
            </w:r>
          </w:p>
        </w:tc>
        <w:tc>
          <w:tcPr>
            <w:tcW w:type="dxa" w:w="1234"/>
          </w:tcPr>
          <w:p>
            <w:r>
              <w:rPr>
                <w:b w:val="0"/>
              </w:rPr>
              <w:t>2040</w:t>
            </w:r>
          </w:p>
        </w:tc>
        <w:tc>
          <w:tcPr>
            <w:tcW w:type="dxa" w:w="1234"/>
          </w:tcPr>
          <w:p>
            <w:r>
              <w:rPr>
                <w:b w:val="0"/>
              </w:rPr>
              <w:t>2045</w:t>
            </w:r>
          </w:p>
        </w:tc>
        <w:tc>
          <w:tcPr>
            <w:tcW w:type="dxa" w:w="1234"/>
          </w:tcPr>
          <w:p>
            <w:r>
              <w:rPr>
                <w:b w:val="0"/>
              </w:rP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2"/>
      </w:pPr>
      <w:r>
        <w:t>4.6 Why this border: case-selection evidence</w:t>
      </w:r>
    </w:p>
    <w:p>
      <w:r>
        <w:rPr>
          <w:b w:val="0"/>
        </w:rPr>
        <w:t xml:space="preserve">The pre-specified comparison (Table 7, Figure 8) yields a deliberately honest picture. On raw volume Kyoto–Shiga is </w:t>
      </w:r>
      <w:r>
        <w:rPr>
          <w:b w:val="0"/>
          <w:i/>
        </w:rPr>
        <w:t>not</w:t>
      </w:r>
      <w:r>
        <w:rPr>
          <w:b w:val="0"/>
        </w:rPr>
        <w:t xml:space="preserve"> the strongest link: Kyoto–Osaka carries 176,231 bidirectional daily trips against 79,466 for Kyoto–Shiga — more than twice — and Osaka dominates Kyoto's external commuting generally. On the pre-specified normalized symmetric intensity, however, Kyoto–Shiga is the strongest of Kyoto's five borders: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1.99% against 1.54% for Kyoto–Osaka and 0.94% for Kyoto–Nara.</w:t>
      </w:r>
    </w:p>
    <w:p>
      <w:r>
        <w:rPr>
          <w:b/>
          <w:sz w:val="20"/>
        </w:rPr>
        <w:t>Figure 8. Case-selection comparison: Kyoto's five borders by raw bidirectional flow and normalized intensity (left); directional asymmetry of key corridors (right).</w:t>
      </w:r>
    </w:p>
    <w:p>
      <w:r>
        <w:drawing>
          <wp:inline xmlns:a="http://schemas.openxmlformats.org/drawingml/2006/main" xmlns:pic="http://schemas.openxmlformats.org/drawingml/2006/picture">
            <wp:extent cx="5486400" cy="2063691"/>
            <wp:docPr id="8" name="Picture 8"/>
            <wp:cNvGraphicFramePr>
              <a:graphicFrameLocks noChangeAspect="1"/>
            </wp:cNvGraphicFramePr>
            <a:graphic>
              <a:graphicData uri="http://schemas.openxmlformats.org/drawingml/2006/picture">
                <pic:pic>
                  <pic:nvPicPr>
                    <pic:cNvPr id="0" name="F8_case_selection.png"/>
                    <pic:cNvPicPr/>
                  </pic:nvPicPr>
                  <pic:blipFill>
                    <a:blip r:embed="rId16"/>
                    <a:stretch>
                      <a:fillRect/>
                    </a:stretch>
                  </pic:blipFill>
                  <pic:spPr>
                    <a:xfrm>
                      <a:off x="0" y="0"/>
                      <a:ext cx="5486400" cy="2063691"/>
                    </a:xfrm>
                    <a:prstGeom prst="rect"/>
                  </pic:spPr>
                </pic:pic>
              </a:graphicData>
            </a:graphic>
          </wp:inline>
        </w:drawing>
      </w:r>
    </w:p>
    <w:p>
      <w:r>
        <w:rPr>
          <w:b/>
          <w:sz w:val="20"/>
        </w:rPr>
        <w:t>Table 7. Case-selection prefecture-pair comparison (2020 census commuting/schooling OD; frozen metrics, all pairs reported).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rPr>
              <w:t>border pair</w:t>
            </w:r>
          </w:p>
        </w:tc>
        <w:tc>
          <w:tcPr>
            <w:tcW w:type="dxa" w:w="1234"/>
          </w:tcPr>
          <w:p>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p>
        </w:tc>
        <w:tc>
          <w:tcPr>
            <w:tcW w:type="dxa" w:w="1234"/>
          </w:tcPr>
          <w:p>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p>
        </w:tc>
        <w:tc>
          <w:tcPr>
            <w:tcW w:type="dxa" w:w="1234"/>
          </w:tcPr>
          <w:p>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p>
        </w:tc>
        <w:tc>
          <w:tcPr>
            <w:tcW w:type="dxa" w:w="1234"/>
          </w:tcPr>
          <w:p>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w:t>
            </w:r>
          </w:p>
        </w:tc>
        <w:tc>
          <w:tcPr>
            <w:tcW w:type="dxa" w:w="1234"/>
          </w:tcPr>
          <w:p>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w:t>
            </w:r>
          </w:p>
        </w:tc>
        <w:tc>
          <w:tcPr>
            <w:tcW w:type="dxa" w:w="1234"/>
          </w:tcPr>
          <w:p>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w:t>
            </w:r>
          </w:p>
        </w:tc>
      </w:tr>
      <w:tr>
        <w:tc>
          <w:tcPr>
            <w:tcW w:type="dxa" w:w="1234"/>
          </w:tcPr>
          <w:p>
            <w:r>
              <w:t>Kyoto–Shiga</w:t>
            </w:r>
          </w:p>
        </w:tc>
        <w:tc>
          <w:tcPr>
            <w:tcW w:type="dxa" w:w="1234"/>
          </w:tcPr>
          <w:p>
            <w:r>
              <w:t>22487.0</w:t>
            </w:r>
          </w:p>
        </w:tc>
        <w:tc>
          <w:tcPr>
            <w:tcW w:type="dxa" w:w="1234"/>
          </w:tcPr>
          <w:p>
            <w:r>
              <w:t>56979.0</w:t>
            </w:r>
          </w:p>
        </w:tc>
        <w:tc>
          <w:tcPr>
            <w:tcW w:type="dxa" w:w="1234"/>
          </w:tcPr>
          <w:p>
            <w:r>
              <w:t>79466.0</w:t>
            </w:r>
          </w:p>
        </w:tc>
        <w:tc>
          <w:tcPr>
            <w:tcW w:type="dxa" w:w="1234"/>
          </w:tcPr>
          <w:p>
            <w:r>
              <w:t>1.78</w:t>
            </w:r>
          </w:p>
        </w:tc>
        <w:tc>
          <w:tcPr>
            <w:tcW w:type="dxa" w:w="1234"/>
          </w:tcPr>
          <w:p>
            <w:r>
              <w:t>7.2</w:t>
            </w:r>
          </w:p>
        </w:tc>
        <w:tc>
          <w:tcPr>
            <w:tcW w:type="dxa" w:w="1234"/>
          </w:tcPr>
          <w:p>
            <w:r>
              <w:t>1.991</w:t>
            </w:r>
          </w:p>
        </w:tc>
      </w:tr>
      <w:tr>
        <w:tc>
          <w:tcPr>
            <w:tcW w:type="dxa" w:w="1234"/>
          </w:tcPr>
          <w:p>
            <w:r>
              <w:t>Kyoto–Osaka</w:t>
            </w:r>
          </w:p>
        </w:tc>
        <w:tc>
          <w:tcPr>
            <w:tcW w:type="dxa" w:w="1234"/>
          </w:tcPr>
          <w:p>
            <w:r>
              <w:t>89444.0</w:t>
            </w:r>
          </w:p>
        </w:tc>
        <w:tc>
          <w:tcPr>
            <w:tcW w:type="dxa" w:w="1234"/>
          </w:tcPr>
          <w:p>
            <w:r>
              <w:t>86787.0</w:t>
            </w:r>
          </w:p>
        </w:tc>
        <w:tc>
          <w:tcPr>
            <w:tcW w:type="dxa" w:w="1234"/>
          </w:tcPr>
          <w:p>
            <w:r>
              <w:t>176231.0</w:t>
            </w:r>
          </w:p>
        </w:tc>
        <w:tc>
          <w:tcPr>
            <w:tcW w:type="dxa" w:w="1234"/>
          </w:tcPr>
          <w:p>
            <w:r>
              <w:t>7.06</w:t>
            </w:r>
          </w:p>
        </w:tc>
        <w:tc>
          <w:tcPr>
            <w:tcW w:type="dxa" w:w="1234"/>
          </w:tcPr>
          <w:p>
            <w:r>
              <w:t>2.02</w:t>
            </w:r>
          </w:p>
        </w:tc>
        <w:tc>
          <w:tcPr>
            <w:tcW w:type="dxa" w:w="1234"/>
          </w:tcPr>
          <w:p>
            <w:r>
              <w:t>1.544</w:t>
            </w:r>
          </w:p>
        </w:tc>
      </w:tr>
      <w:tr>
        <w:tc>
          <w:tcPr>
            <w:tcW w:type="dxa" w:w="1234"/>
          </w:tcPr>
          <w:p>
            <w:r>
              <w:t>Kyoto–Hyogo</w:t>
            </w:r>
          </w:p>
        </w:tc>
        <w:tc>
          <w:tcPr>
            <w:tcW w:type="dxa" w:w="1234"/>
          </w:tcPr>
          <w:p>
            <w:r>
              <w:t>9593.0</w:t>
            </w:r>
          </w:p>
        </w:tc>
        <w:tc>
          <w:tcPr>
            <w:tcW w:type="dxa" w:w="1234"/>
          </w:tcPr>
          <w:p>
            <w:r>
              <w:t>18709.0</w:t>
            </w:r>
          </w:p>
        </w:tc>
        <w:tc>
          <w:tcPr>
            <w:tcW w:type="dxa" w:w="1234"/>
          </w:tcPr>
          <w:p>
            <w:r>
              <w:t>28302.0</w:t>
            </w:r>
          </w:p>
        </w:tc>
        <w:tc>
          <w:tcPr>
            <w:tcW w:type="dxa" w:w="1234"/>
          </w:tcPr>
          <w:p>
            <w:r>
              <w:t>0.76</w:t>
            </w:r>
          </w:p>
        </w:tc>
        <w:tc>
          <w:tcPr>
            <w:tcW w:type="dxa" w:w="1234"/>
          </w:tcPr>
          <w:p>
            <w:r>
              <w:t>0.66</w:t>
            </w:r>
          </w:p>
        </w:tc>
        <w:tc>
          <w:tcPr>
            <w:tcW w:type="dxa" w:w="1234"/>
          </w:tcPr>
          <w:p>
            <w:r>
              <w:t>0.352</w:t>
            </w:r>
          </w:p>
        </w:tc>
      </w:tr>
      <w:tr>
        <w:tc>
          <w:tcPr>
            <w:tcW w:type="dxa" w:w="1234"/>
          </w:tcPr>
          <w:p>
            <w:r>
              <w:t>Kyoto–Nara</w:t>
            </w:r>
          </w:p>
        </w:tc>
        <w:tc>
          <w:tcPr>
            <w:tcW w:type="dxa" w:w="1234"/>
          </w:tcPr>
          <w:p>
            <w:r>
              <w:t>16943.0</w:t>
            </w:r>
          </w:p>
        </w:tc>
        <w:tc>
          <w:tcPr>
            <w:tcW w:type="dxa" w:w="1234"/>
          </w:tcPr>
          <w:p>
            <w:r>
              <w:t>19774.0</w:t>
            </w:r>
          </w:p>
        </w:tc>
        <w:tc>
          <w:tcPr>
            <w:tcW w:type="dxa" w:w="1234"/>
          </w:tcPr>
          <w:p>
            <w:r>
              <w:t>36717.0</w:t>
            </w:r>
          </w:p>
        </w:tc>
        <w:tc>
          <w:tcPr>
            <w:tcW w:type="dxa" w:w="1234"/>
          </w:tcPr>
          <w:p>
            <w:r>
              <w:t>1.34</w:t>
            </w:r>
          </w:p>
        </w:tc>
        <w:tc>
          <w:tcPr>
            <w:tcW w:type="dxa" w:w="1234"/>
          </w:tcPr>
          <w:p>
            <w:r>
              <w:t>2.92</w:t>
            </w:r>
          </w:p>
        </w:tc>
        <w:tc>
          <w:tcPr>
            <w:tcW w:type="dxa" w:w="1234"/>
          </w:tcPr>
          <w:p>
            <w:r>
              <w:t>0.941</w:t>
            </w:r>
          </w:p>
        </w:tc>
      </w:tr>
      <w:tr>
        <w:tc>
          <w:tcPr>
            <w:tcW w:type="dxa" w:w="1234"/>
          </w:tcPr>
          <w:p>
            <w:r>
              <w:t>Kyoto–Fukui</w:t>
            </w:r>
          </w:p>
        </w:tc>
        <w:tc>
          <w:tcPr>
            <w:tcW w:type="dxa" w:w="1234"/>
          </w:tcPr>
          <w:p>
            <w:r>
              <w:t>2009.0</w:t>
            </w:r>
          </w:p>
        </w:tc>
        <w:tc>
          <w:tcPr>
            <w:tcW w:type="dxa" w:w="1234"/>
          </w:tcPr>
          <w:p>
            <w:r>
              <w:t>1405.0</w:t>
            </w:r>
          </w:p>
        </w:tc>
        <w:tc>
          <w:tcPr>
            <w:tcW w:type="dxa" w:w="1234"/>
          </w:tcPr>
          <w:p>
            <w:r>
              <w:t>3414.0</w:t>
            </w:r>
          </w:p>
        </w:tc>
        <w:tc>
          <w:tcPr>
            <w:tcW w:type="dxa" w:w="1234"/>
          </w:tcPr>
          <w:p>
            <w:r>
              <w:t>0.16</w:t>
            </w:r>
          </w:p>
        </w:tc>
        <w:tc>
          <w:tcPr>
            <w:tcW w:type="dxa" w:w="1234"/>
          </w:tcPr>
          <w:p>
            <w:r>
              <w:t>0.31</w:t>
            </w:r>
          </w:p>
        </w:tc>
        <w:tc>
          <w:tcPr>
            <w:tcW w:type="dxa" w:w="1234"/>
          </w:tcPr>
          <w:p>
            <w:r>
              <w:t>0.102</w:t>
            </w:r>
          </w:p>
        </w:tc>
      </w:tr>
      <w:tr>
        <w:tc>
          <w:tcPr>
            <w:tcW w:type="dxa" w:w="1234"/>
          </w:tcPr>
          <w:p>
            <w:r>
              <w:t>Shiga–Mie</w:t>
            </w:r>
          </w:p>
        </w:tc>
        <w:tc>
          <w:tcPr>
            <w:tcW w:type="dxa" w:w="1234"/>
          </w:tcPr>
          <w:p>
            <w:r>
              <w:t>1598.0</w:t>
            </w:r>
          </w:p>
        </w:tc>
        <w:tc>
          <w:tcPr>
            <w:tcW w:type="dxa" w:w="1234"/>
          </w:tcPr>
          <w:p>
            <w:r>
              <w:t>1617.0</w:t>
            </w:r>
          </w:p>
        </w:tc>
        <w:tc>
          <w:tcPr>
            <w:tcW w:type="dxa" w:w="1234"/>
          </w:tcPr>
          <w:p>
            <w:r>
              <w:t>3215.0</w:t>
            </w:r>
          </w:p>
        </w:tc>
        <w:tc>
          <w:tcPr>
            <w:tcW w:type="dxa" w:w="1234"/>
          </w:tcPr>
          <w:p>
            <w:r>
              <w:t>0.2</w:t>
            </w:r>
          </w:p>
        </w:tc>
        <w:tc>
          <w:tcPr>
            <w:tcW w:type="dxa" w:w="1234"/>
          </w:tcPr>
          <w:p>
            <w:r>
              <w:t>0.17</w:t>
            </w:r>
          </w:p>
        </w:tc>
        <w:tc>
          <w:tcPr>
            <w:tcW w:type="dxa" w:w="1234"/>
          </w:tcPr>
          <w:p>
            <w:r>
              <w:t>0.101</w:t>
            </w:r>
          </w:p>
        </w:tc>
      </w:tr>
      <w:tr>
        <w:tc>
          <w:tcPr>
            <w:tcW w:type="dxa" w:w="1234"/>
          </w:tcPr>
          <w:p>
            <w:r>
              <w:t>Shiga–Gifu</w:t>
            </w:r>
          </w:p>
        </w:tc>
        <w:tc>
          <w:tcPr>
            <w:tcW w:type="dxa" w:w="1234"/>
          </w:tcPr>
          <w:p>
            <w:r>
              <w:t>1695.0</w:t>
            </w:r>
          </w:p>
        </w:tc>
        <w:tc>
          <w:tcPr>
            <w:tcW w:type="dxa" w:w="1234"/>
          </w:tcPr>
          <w:p>
            <w:r>
              <w:t>1476.0</w:t>
            </w:r>
          </w:p>
        </w:tc>
        <w:tc>
          <w:tcPr>
            <w:tcW w:type="dxa" w:w="1234"/>
          </w:tcPr>
          <w:p>
            <w:r>
              <w:t>3171.0</w:t>
            </w:r>
          </w:p>
        </w:tc>
        <w:tc>
          <w:tcPr>
            <w:tcW w:type="dxa" w:w="1234"/>
          </w:tcPr>
          <w:p>
            <w:r>
              <w:t>0.21</w:t>
            </w:r>
          </w:p>
        </w:tc>
        <w:tc>
          <w:tcPr>
            <w:tcW w:type="dxa" w:w="1234"/>
          </w:tcPr>
          <w:p>
            <w:r>
              <w:t>0.13</w:t>
            </w:r>
          </w:p>
        </w:tc>
        <w:tc>
          <w:tcPr>
            <w:tcW w:type="dxa" w:w="1234"/>
          </w:tcPr>
          <w:p>
            <w:r>
              <w:t>0.093</w:t>
            </w:r>
          </w:p>
        </w:tc>
      </w:tr>
      <w:tr>
        <w:tc>
          <w:tcPr>
            <w:tcW w:type="dxa" w:w="1234"/>
          </w:tcPr>
          <w:p>
            <w:r>
              <w:t>Shiga–Fukui</w:t>
            </w:r>
          </w:p>
        </w:tc>
        <w:tc>
          <w:tcPr>
            <w:tcW w:type="dxa" w:w="1234"/>
          </w:tcPr>
          <w:p>
            <w:r>
              <w:t>973.0</w:t>
            </w:r>
          </w:p>
        </w:tc>
        <w:tc>
          <w:tcPr>
            <w:tcW w:type="dxa" w:w="1234"/>
          </w:tcPr>
          <w:p>
            <w:r>
              <w:t>531.0</w:t>
            </w:r>
          </w:p>
        </w:tc>
        <w:tc>
          <w:tcPr>
            <w:tcW w:type="dxa" w:w="1234"/>
          </w:tcPr>
          <w:p>
            <w:r>
              <w:t>1504.0</w:t>
            </w:r>
          </w:p>
        </w:tc>
        <w:tc>
          <w:tcPr>
            <w:tcW w:type="dxa" w:w="1234"/>
          </w:tcPr>
          <w:p>
            <w:r>
              <w:t>0.12</w:t>
            </w:r>
          </w:p>
        </w:tc>
        <w:tc>
          <w:tcPr>
            <w:tcW w:type="dxa" w:w="1234"/>
          </w:tcPr>
          <w:p>
            <w:r>
              <w:t>0.12</w:t>
            </w:r>
          </w:p>
        </w:tc>
        <w:tc>
          <w:tcPr>
            <w:tcW w:type="dxa" w:w="1234"/>
          </w:tcPr>
          <w:p>
            <w:r>
              <w:t>0.069</w:t>
            </w:r>
          </w:p>
        </w:tc>
      </w:tr>
      <w:tr>
        <w:tc>
          <w:tcPr>
            <w:tcW w:type="dxa" w:w="1234"/>
          </w:tcPr>
          <w:p>
            <w:r>
              <w:t>Osaka–Hyogo</w:t>
            </w:r>
          </w:p>
        </w:tc>
        <w:tc>
          <w:tcPr>
            <w:tcW w:type="dxa" w:w="1234"/>
          </w:tcPr>
          <w:p>
            <w:r>
              <w:t>106051.0</w:t>
            </w:r>
          </w:p>
        </w:tc>
        <w:tc>
          <w:tcPr>
            <w:tcW w:type="dxa" w:w="1234"/>
          </w:tcPr>
          <w:p>
            <w:r>
              <w:t>309704.0</w:t>
            </w:r>
          </w:p>
        </w:tc>
        <w:tc>
          <w:tcPr>
            <w:tcW w:type="dxa" w:w="1234"/>
          </w:tcPr>
          <w:p>
            <w:r>
              <w:t>415755.0</w:t>
            </w:r>
          </w:p>
        </w:tc>
        <w:tc>
          <w:tcPr>
            <w:tcW w:type="dxa" w:w="1234"/>
          </w:tcPr>
          <w:p>
            <w:r>
              <w:t>2.46</w:t>
            </w:r>
          </w:p>
        </w:tc>
        <w:tc>
          <w:tcPr>
            <w:tcW w:type="dxa" w:w="1234"/>
          </w:tcPr>
          <w:p>
            <w:r>
              <w:t>11.0</w:t>
            </w:r>
          </w:p>
        </w:tc>
        <w:tc>
          <w:tcPr>
            <w:tcW w:type="dxa" w:w="1234"/>
          </w:tcPr>
          <w:p>
            <w:r>
              <w:t>2.907</w:t>
            </w:r>
          </w:p>
        </w:tc>
      </w:tr>
      <w:tr>
        <w:tc>
          <w:tcPr>
            <w:tcW w:type="dxa" w:w="1234"/>
          </w:tcPr>
          <w:p>
            <w:r>
              <w:t>Osaka–Nara</w:t>
            </w:r>
          </w:p>
        </w:tc>
        <w:tc>
          <w:tcPr>
            <w:tcW w:type="dxa" w:w="1234"/>
          </w:tcPr>
          <w:p>
            <w:r>
              <w:t>27627.0</w:t>
            </w:r>
          </w:p>
        </w:tc>
        <w:tc>
          <w:tcPr>
            <w:tcW w:type="dxa" w:w="1234"/>
          </w:tcPr>
          <w:p>
            <w:r>
              <w:t>137932.0</w:t>
            </w:r>
          </w:p>
        </w:tc>
        <w:tc>
          <w:tcPr>
            <w:tcW w:type="dxa" w:w="1234"/>
          </w:tcPr>
          <w:p>
            <w:r>
              <w:t>165559.0</w:t>
            </w:r>
          </w:p>
        </w:tc>
        <w:tc>
          <w:tcPr>
            <w:tcW w:type="dxa" w:w="1234"/>
          </w:tcPr>
          <w:p>
            <w:r>
              <w:t>0.64</w:t>
            </w:r>
          </w:p>
        </w:tc>
        <w:tc>
          <w:tcPr>
            <w:tcW w:type="dxa" w:w="1234"/>
          </w:tcPr>
          <w:p>
            <w:r>
              <w:t>20.38</w:t>
            </w:r>
          </w:p>
        </w:tc>
        <w:tc>
          <w:tcPr>
            <w:tcW w:type="dxa" w:w="1234"/>
          </w:tcPr>
          <w:p>
            <w:r>
              <w:t>1.629</w:t>
            </w:r>
          </w:p>
        </w:tc>
      </w:tr>
      <w:tr>
        <w:tc>
          <w:tcPr>
            <w:tcW w:type="dxa" w:w="1234"/>
          </w:tcPr>
          <w:p>
            <w:r>
              <w:t>Osaka–Wakayama</w:t>
            </w:r>
          </w:p>
        </w:tc>
        <w:tc>
          <w:tcPr>
            <w:tcW w:type="dxa" w:w="1234"/>
          </w:tcPr>
          <w:p>
            <w:r>
              <w:t>12974.0</w:t>
            </w:r>
          </w:p>
        </w:tc>
        <w:tc>
          <w:tcPr>
            <w:tcW w:type="dxa" w:w="1234"/>
          </w:tcPr>
          <w:p>
            <w:r>
              <w:t>25842.0</w:t>
            </w:r>
          </w:p>
        </w:tc>
        <w:tc>
          <w:tcPr>
            <w:tcW w:type="dxa" w:w="1234"/>
          </w:tcPr>
          <w:p>
            <w:r>
              <w:t>38816.0</w:t>
            </w:r>
          </w:p>
        </w:tc>
        <w:tc>
          <w:tcPr>
            <w:tcW w:type="dxa" w:w="1234"/>
          </w:tcPr>
          <w:p>
            <w:r>
              <w:t>0.3</w:t>
            </w:r>
          </w:p>
        </w:tc>
        <w:tc>
          <w:tcPr>
            <w:tcW w:type="dxa" w:w="1234"/>
          </w:tcPr>
          <w:p>
            <w:r>
              <w:t>5.55</w:t>
            </w:r>
          </w:p>
        </w:tc>
        <w:tc>
          <w:tcPr>
            <w:tcW w:type="dxa" w:w="1234"/>
          </w:tcPr>
          <w:p>
            <w:r>
              <w:t>0.398</w:t>
            </w:r>
          </w:p>
        </w:tc>
      </w:tr>
      <w:tr>
        <w:tc>
          <w:tcPr>
            <w:tcW w:type="dxa" w:w="1234"/>
          </w:tcPr>
          <w:p>
            <w:r>
              <w:t>Nara–Wakayama</w:t>
            </w:r>
          </w:p>
        </w:tc>
        <w:tc>
          <w:tcPr>
            <w:tcW w:type="dxa" w:w="1234"/>
          </w:tcPr>
          <w:p>
            <w:r>
              <w:t>1670.0</w:t>
            </w:r>
          </w:p>
        </w:tc>
        <w:tc>
          <w:tcPr>
            <w:tcW w:type="dxa" w:w="1234"/>
          </w:tcPr>
          <w:p>
            <w:r>
              <w:t>3059.0</w:t>
            </w:r>
          </w:p>
        </w:tc>
        <w:tc>
          <w:tcPr>
            <w:tcW w:type="dxa" w:w="1234"/>
          </w:tcPr>
          <w:p>
            <w:r>
              <w:t>4729.0</w:t>
            </w:r>
          </w:p>
        </w:tc>
        <w:tc>
          <w:tcPr>
            <w:tcW w:type="dxa" w:w="1234"/>
          </w:tcPr>
          <w:p>
            <w:r>
              <w:t>0.25</w:t>
            </w:r>
          </w:p>
        </w:tc>
        <w:tc>
          <w:tcPr>
            <w:tcW w:type="dxa" w:w="1234"/>
          </w:tcPr>
          <w:p>
            <w:r>
              <w:t>0.66</w:t>
            </w:r>
          </w:p>
        </w:tc>
        <w:tc>
          <w:tcPr>
            <w:tcW w:type="dxa" w:w="1234"/>
          </w:tcPr>
          <w:p>
            <w:r>
              <w:t>0.21</w:t>
            </w:r>
          </w:p>
        </w:tc>
      </w:tr>
      <w:tr>
        <w:tc>
          <w:tcPr>
            <w:tcW w:type="dxa" w:w="1234"/>
          </w:tcPr>
          <w:p>
            <w:r>
              <w:t>Nara–Mie</w:t>
            </w:r>
          </w:p>
        </w:tc>
        <w:tc>
          <w:tcPr>
            <w:tcW w:type="dxa" w:w="1234"/>
          </w:tcPr>
          <w:p>
            <w:r>
              <w:t>4122.0</w:t>
            </w:r>
          </w:p>
        </w:tc>
        <w:tc>
          <w:tcPr>
            <w:tcW w:type="dxa" w:w="1234"/>
          </w:tcPr>
          <w:p>
            <w:r>
              <w:t>2951.0</w:t>
            </w:r>
          </w:p>
        </w:tc>
        <w:tc>
          <w:tcPr>
            <w:tcW w:type="dxa" w:w="1234"/>
          </w:tcPr>
          <w:p>
            <w:r>
              <w:t>7073.0</w:t>
            </w:r>
          </w:p>
        </w:tc>
        <w:tc>
          <w:tcPr>
            <w:tcW w:type="dxa" w:w="1234"/>
          </w:tcPr>
          <w:p>
            <w:r>
              <w:t>0.61</w:t>
            </w:r>
          </w:p>
        </w:tc>
        <w:tc>
          <w:tcPr>
            <w:tcW w:type="dxa" w:w="1234"/>
          </w:tcPr>
          <w:p>
            <w:r>
              <w:t>0.3</w:t>
            </w:r>
          </w:p>
        </w:tc>
        <w:tc>
          <w:tcPr>
            <w:tcW w:type="dxa" w:w="1234"/>
          </w:tcPr>
          <w:p>
            <w:r>
              <w:t>0.229</w:t>
            </w:r>
          </w:p>
        </w:tc>
      </w:tr>
      <w:tr>
        <w:tc>
          <w:tcPr>
            <w:tcW w:type="dxa" w:w="1234"/>
          </w:tcPr>
          <w:p>
            <w:r>
              <w:t>Gifu–Mie</w:t>
            </w:r>
          </w:p>
        </w:tc>
        <w:tc>
          <w:tcPr>
            <w:tcW w:type="dxa" w:w="1234"/>
          </w:tcPr>
          <w:p>
            <w:r>
              <w:t>3518.0</w:t>
            </w:r>
          </w:p>
        </w:tc>
        <w:tc>
          <w:tcPr>
            <w:tcW w:type="dxa" w:w="1234"/>
          </w:tcPr>
          <w:p>
            <w:r>
              <w:t>1479.0</w:t>
            </w:r>
          </w:p>
        </w:tc>
        <w:tc>
          <w:tcPr>
            <w:tcW w:type="dxa" w:w="1234"/>
          </w:tcPr>
          <w:p>
            <w:r>
              <w:t>4997.0</w:t>
            </w:r>
          </w:p>
        </w:tc>
        <w:tc>
          <w:tcPr>
            <w:tcW w:type="dxa" w:w="1234"/>
          </w:tcPr>
          <w:p>
            <w:r>
              <w:t>0.32</w:t>
            </w:r>
          </w:p>
        </w:tc>
        <w:tc>
          <w:tcPr>
            <w:tcW w:type="dxa" w:w="1234"/>
          </w:tcPr>
          <w:p>
            <w:r>
              <w:t>0.15</w:t>
            </w:r>
          </w:p>
        </w:tc>
        <w:tc>
          <w:tcPr>
            <w:tcW w:type="dxa" w:w="1234"/>
          </w:tcPr>
          <w:p>
            <w:r>
              <w:t>0.133</w:t>
            </w:r>
          </w:p>
        </w:tc>
      </w:tr>
      <w:tr>
        <w:tc>
          <w:tcPr>
            <w:tcW w:type="dxa" w:w="1234"/>
          </w:tcPr>
          <w:p>
            <w:r>
              <w:t>Gifu–Fukui</w:t>
            </w:r>
          </w:p>
        </w:tc>
        <w:tc>
          <w:tcPr>
            <w:tcW w:type="dxa" w:w="1234"/>
          </w:tcPr>
          <w:p>
            <w:r>
              <w:t>261.0</w:t>
            </w:r>
          </w:p>
        </w:tc>
        <w:tc>
          <w:tcPr>
            <w:tcW w:type="dxa" w:w="1234"/>
          </w:tcPr>
          <w:p>
            <w:r>
              <w:t>130.0</w:t>
            </w:r>
          </w:p>
        </w:tc>
        <w:tc>
          <w:tcPr>
            <w:tcW w:type="dxa" w:w="1234"/>
          </w:tcPr>
          <w:p>
            <w:r>
              <w:t>391.0</w:t>
            </w:r>
          </w:p>
        </w:tc>
        <w:tc>
          <w:tcPr>
            <w:tcW w:type="dxa" w:w="1234"/>
          </w:tcPr>
          <w:p>
            <w:r>
              <w:t>0.02</w:t>
            </w:r>
          </w:p>
        </w:tc>
        <w:tc>
          <w:tcPr>
            <w:tcW w:type="dxa" w:w="1234"/>
          </w:tcPr>
          <w:p>
            <w:r>
              <w:t>0.03</w:t>
            </w:r>
          </w:p>
        </w:tc>
        <w:tc>
          <w:tcPr>
            <w:tcW w:type="dxa" w:w="1234"/>
          </w:tcPr>
          <w:p>
            <w:r>
              <w:t>0.014</w:t>
            </w:r>
          </w:p>
        </w:tc>
      </w:tr>
    </w:tbl>
    <w:p>
      <w:r>
        <w:rPr>
          <w:b w:val="0"/>
        </w:rPr>
        <w:t>Directional asymmetry was tested rather than assumed. Shiga is Kyoto-oriented: 7.2% of all Shiga commuters and students travel to Kyoto, comprising 65.5% of Shiga's out-of-prefecture trips. Kyoto is polycentric: 7.1% travel to Osaka but only 1.8% to Shiga — a directional rate of similar magnitude to Shiga's toward Kyoto. For full disclosure, Shiga→Kyoto is not the bloc's maximum directional share: Nara→Osaka reaches 20.4% (Table 7). Municipal concentration tells the same entanglement story from below: Kyoto is the largest external prefectural destination for 18 of Shiga's 19 municipalities (the sole exception, Maibara, sits at the prefecture's opposite end), while for Kyoto's 36 municipalities and wards Osaka tops 23 and Shiga tops only 1 — Yamashina-ku, the ward directly adjoining Ōtsu.</w:t>
      </w:r>
    </w:p>
    <w:p>
      <w:r>
        <w:rPr>
          <w:b w:val="0"/>
        </w:rPr>
        <w:t>Proximity and shared institutions corroborate the entanglement. The Kyoto and Shiga prefectural government offices sit 10.5 km apart — the closest of all 1,081 prefectural-government-office pairs in Japan, 8.5 km closer than the runner-up pair — linked by roughly 10 minutes of commuter rail. The functional pairing has its own name in Japanese usage: "Keiji" (Kyōto–Shiga), adopted by a RIETI–Kyoto University industrial-cluster study, the national accountants' association's regional body, and corporate branch structures alike; the Kyoto Shimbun's circulation territory is exactly the two prefectures; and Kyoto City has drawn its water from Lake Biwa at Ōtsu through its own canal since 1890, an engineered cross-border dependency older than the current electoral system. Historically, Ōmi province hosted the imperial capital at Ōtsu and carried both the Tōkaidō and Nakasendō corridors — the border region has been a through-route for centuries.</w:t>
      </w:r>
    </w:p>
    <w:p>
      <w:r>
        <w:rPr>
          <w:b w:val="0"/>
        </w:rPr>
        <w:t xml:space="preserve">The honest conclusion is therefore narrower than "the most entangled pair in Japan." Kyoto–Shiga is the strongest border on the pre-specified normalized measure </w:t>
      </w:r>
      <w:r>
        <w:rPr>
          <w:b w:val="0"/>
          <w:i/>
        </w:rPr>
        <w:t>within Kyoto's borders</w:t>
      </w:r>
      <w:r>
        <w:rPr>
          <w:b w:val="0"/>
        </w:rPr>
        <w:t xml:space="preserve">, unusually proximate, and deeply institutionalized — but it is not the table's normalized maximum (Osaka–Hyogo reaches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2.91%), Osaka dominates raw flow, and Nara→Osaka exceeds Shiga→Kyoto on origin-share. The pair was selected because it concentrates the study's theoretical difficulty — a hard statutory wall across a functionally entangled space — in the country's most proximate prefectural-government pairing by geodesic distance, not because it tops every measure; the divergence among measures is itself evidence about what kind of entanglement the border is.</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territoriality reading.</w:t>
      </w:r>
      <w:r>
        <w:rPr>
          <w:b w:val="0"/>
        </w:rPr>
        <w:t xml:space="preserve"> The result is surprising against the functionalist intuition that a boundary cutting a commuting field must bind hard — and it is precisely the kind of finding the boundary literature should expect once the question is asked correctly. Political geography treats borders as institutions that persist because they organize, not because they track function (Newman and Paasi, 1998; Painter, 2010; Elden, 2013). What this study adds is that the </w:t>
      </w:r>
      <w:r>
        <w:rPr>
          <w:b w:val="0"/>
          <w:i/>
        </w:rPr>
        <w:t>price</w:t>
      </w:r>
      <w:r>
        <w:rPr>
          <w:b w:val="0"/>
        </w:rPr>
        <w:t xml:space="preserve"> of such persistence is an empirical quantity with a sign and a magnitude, not an axiom: here it is bounded at municipality scale and best-found-zero at fine scale, because the inherited line happens to run along a watershed through a weak functional interface. The boundary reproduces administrative space exactly as the institutionalist account predicts; but its measured cost inside one representation system is small. Institutional persistence and functional inefficiency are different claims, and only the second needs numbers.</w:t>
      </w:r>
    </w:p>
    <w:p>
      <w:r>
        <w:rPr>
          <w:b/>
        </w:rPr>
        <w:t>The electoral-geography reading.</w:t>
      </w:r>
      <w:r>
        <w:rPr>
          <w:b w:val="0"/>
        </w:rPr>
        <w:t xml:space="preserve"> Computational electoral geography has spent two decades measuring what happens inside statutory containers — the shape of districts, the bias of plans (Taylor and Johnston, 1979; Duchin and Tenner, 2024). This paper turns the same instruments outward onto the container itself: the prefectural wall becomes a costed design parameter rather than background. For Japan specifically, where the no-straddle rule is statutory and recent delimitations have already accepted increasing within-prefecture disparity, the estimand answers a question commissions currently cannot: what would relaxing the container buy? At fine resolution here, nothing measurable.</w:t>
      </w:r>
    </w:p>
    <w:p>
      <w:r>
        <w:rPr>
          <w:b/>
        </w:rPr>
        <w:t>Mismatch is an observation; inefficiency is an estimand.</w:t>
      </w:r>
      <w:r>
        <w:rPr>
          <w:b w:val="0"/>
        </w:rPr>
        <w:t xml:space="preserve"> The Kyoto–Shiga line is, by any visual or functional criterion, a conspicuous administrative–functional mismatch: it bisects an exceptionally proximate cross-border setting linked by 79,466 daily cross-prefecture trips. If visible mismatch implied large marginal efficiency loss, removing the constraint should yield large gains; it yielded a bounded gain at municipality scale and no gain at small-area scale.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Why the case-selection discipline matters.</w:t>
      </w:r>
      <w:r>
        <w:rPr>
          <w:b w:val="0"/>
        </w:rPr>
        <w:t xml:space="preserve"> The case is extreme on proximity and institutional entanglement but not on raw flow, and the paper says so — the alternative pair (Kyoto–Osaka) is bigger by volume, and Nara→Osaka out-ranks Shiga→Kyoto on directional share. Pre-specified measurement and full reporting are what separate a case study from a demonstration: the claim is not that this border is unique, but that </w:t>
      </w:r>
      <w:r>
        <w:rPr>
          <w:b w:val="0"/>
          <w:i/>
        </w:rPr>
        <w:t>a</w:t>
      </w:r>
      <w:r>
        <w:rPr>
          <w:b w:val="0"/>
        </w:rPr>
        <w:t xml:space="preserve"> hard boundary across </w:t>
      </w:r>
      <w:r>
        <w:rPr>
          <w:b w:val="0"/>
          <w:i/>
        </w:rPr>
        <w:t>a</w:t>
      </w:r>
      <w:r>
        <w:rPr>
          <w:b w:val="0"/>
        </w:rPr>
        <w:t xml:space="preserve"> deeply entangled space was priced, and priced low. The typology that falls out — institutionally divided yet functionally entangled pairs, versus divided-and-divided or entangled-and-undivided ones — is portable to other border pairs and other functions.</w:t>
      </w:r>
    </w:p>
    <w:p>
      <w:r>
        <w:rPr>
          <w:b/>
        </w:rPr>
        <w:t>The general principle and its limits.</w:t>
      </w:r>
      <w:r>
        <w:rPr>
          <w:b w:val="0"/>
        </w:rPr>
        <w:t xml:space="preserve"> Different public functions optimize different objectives; their efficient territorial partitions need not coincide, and forcing them to coincide restricts every function's feasible set (Larson and Odoni, 2007; Owen and Daskin, 1998). Territorial congruence should therefore be treated as a design decision rather than a default objective. The same paired estimand applies wherever a territorial plan must respect an inherited or shared boundary — health-service regions, emergency coverage, school catchments, transport and utility territories, multi-jurisdiction infrastructure. These are examples of the general decision problem, not findings of this study, whose empirical content is exclusively electoral; and the study does not estimate the coordination, transition, or legibility benefits that might still justify alignment.</w:t>
      </w:r>
    </w:p>
    <w:p>
      <w:pPr>
        <w:pStyle w:val="Heading1"/>
      </w:pPr>
      <w:r>
        <w:t>6. Limitations</w:t>
      </w:r>
    </w:p>
    <w:p>
      <w:r>
        <w:rPr>
          <w:b w:val="0"/>
        </w:rPr>
        <w:t xml:space="preserve">Several qualifications bound the claims. The study prices one territorial function — electoral districting — in one two-prefecture Japanese case; it does not empirically compare multiple service systems and does not estimate the coordination benefits or transition costs of multi-service alignment. The case-selection comparison is bounded by design: it covers Kinki-region prefecture pairs from a single census release, uses commuting/schooling flow as the functional layer (one dimension of connectivity, not all of it), relies on pre-specified rather than exhaustive normalizations, and draws contextual corroboration from heterogeneous sources of varying authority (the prefectural-office distance computation, though performed from official national data, rests on 2006-vintage facility coordinates). Commuting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For political geography, the methodological point is that the boundary itself — not only the maps drawn inside it — can be made a measurable object.</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 declares none. </w:t>
      </w:r>
      <w:r>
        <w:rPr>
          <w:b/>
        </w:rPr>
        <w:t>Funding:</w:t>
      </w:r>
      <w:r>
        <w:rPr>
          <w:b w:val="0"/>
        </w:rPr>
        <w:t xml:space="preserve"> none. </w:t>
      </w:r>
      <w:r>
        <w:rPr>
          <w:b/>
        </w:rPr>
        <w:t>Generative AI:</w:t>
      </w:r>
      <w:r>
        <w:rPr>
          <w:b w:val="0"/>
        </w:rPr>
        <w:t xml:space="preserve"> AI-assisted tooling was used for language checking and manuscript-production assistance; all scientific content, claims, and analyses are the author's own.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Agnew, J., 1994. The territorial trap: the geographical assumptions of international relations theory. Review of International Political Economy 1(1), 53–80. https://doi.org/10.1080/09692299408434268</w:t>
      </w:r>
    </w:p>
    <w:p>
      <w:r>
        <w:rPr>
          <w:b w:val="0"/>
        </w:rPr>
        <w:t>Balinski, M.L., Young, H.P., 1982. Fair Representation: Meeting the Ideal of One Man, One Vote. Yale University Press, New Haven.</w:t>
      </w:r>
    </w:p>
    <w:p>
      <w:r>
        <w:rPr>
          <w:b w:val="0"/>
        </w:rPr>
        <w:t>DeFord, D., Duchin, M., Solomon, J., 2021. Recombination: a family of Markov chains for redistricting. Harvard Data Science Review 3(1). https://doi.org/10.1162/99608f92.eb30390f</w:t>
      </w:r>
    </w:p>
    <w:p>
      <w:r>
        <w:rPr>
          <w:b w:val="0"/>
        </w:rPr>
        <w:t>Duchin, M., Tenner, B.E., 2024. Discrete geometry for electoral geography. Political Geography. https://doi.org/10.1016/j.polgeo.2023.103040</w:t>
      </w:r>
    </w:p>
    <w:p>
      <w:r>
        <w:rPr>
          <w:b w:val="0"/>
        </w:rPr>
        <w:t>Elden, S., 2013. The Birth of Territory. University of Chicago Press, Chicago.</w:t>
      </w:r>
    </w:p>
    <w:p>
      <w:r>
        <w:rPr>
          <w:b w:val="0"/>
        </w:rPr>
        <w:t>Herschlag, G., Kang, H.S., Luo, J., Graves, C.V., Bangia, S., Ravier, R., Mattingly, J.C., 2020. Quantifying gerrymandering in North Carolina. Statistics and Public Policy 7(1), 30–38. https://doi.org/10.1080/2330443X.2020.1796400</w:t>
      </w:r>
    </w:p>
    <w:p>
      <w:r>
        <w:rPr>
          <w:b w:val="0"/>
        </w:rPr>
        <w:t>Larson, R.C., Odoni, A.R., 2007. Urban Operations Research, 2nd ed. Dynamic Ideas, Belmont, MA.</w:t>
      </w:r>
    </w:p>
    <w:p>
      <w:r>
        <w:rPr>
          <w:b w:val="0"/>
        </w:rPr>
        <w:t>Mehrotra, A., Johnson, E.L., Nemhauser, G.L., 1998. An optimization-based heuristic for political districting. Management Science 44(8), 1100–1114. https://doi.org/10.1287/mnsc.44.8.1100</w:t>
      </w:r>
    </w:p>
    <w:p>
      <w:r>
        <w:rPr>
          <w:b w:val="0"/>
        </w:rPr>
        <w:t>Ministry of Internal Affairs and Communications (Japan), 2020a. 2020 Population Census, Table 6-1: Commuting and Schooling Origin–Destination [Data set]. e-Stat.</w:t>
      </w:r>
    </w:p>
    <w:p>
      <w:r>
        <w:rPr>
          <w:b w:val="0"/>
        </w:rPr>
        <w:t>Ministry of Internal Affairs and Communications (Japan), 2020b. Statistical GIS Boundary Data (r2ka Small Areas, JGD2011), with 2020 Census counts [Data set]. e-Stat.</w:t>
      </w:r>
    </w:p>
    <w:p>
      <w:r>
        <w:rPr>
          <w:b w:val="0"/>
        </w:rPr>
        <w:t>Ministry of Land, Infrastructure, Transport and Tourism (Japan), 2006. National Land Numerical Information, Public Facilities (P02, prefectural-government offices) [Data set]. https://nlftp.mlit.go.jp/ksj/.</w:t>
      </w:r>
    </w:p>
    <w:p>
      <w:r>
        <w:rPr>
          <w:b w:val="0"/>
        </w:rPr>
        <w:t>National Institute of Population and Social Security Research, 2023. Municipal Population Projections, 2020–2050 [Data set].</w:t>
      </w:r>
    </w:p>
    <w:p>
      <w:r>
        <w:rPr>
          <w:b w:val="0"/>
        </w:rPr>
        <w:t>Newman, D., Paasi, A., 1998. Fences and neighbours in the postmodern world: boundary narratives in political geography. Progress in Human Geography 22(2), 186–207. https://doi.org/10.1191/030913298666039113</w:t>
      </w:r>
    </w:p>
    <w:p>
      <w:r>
        <w:rPr>
          <w:b w:val="0"/>
        </w:rPr>
        <w:t>OECD, 2012. Redefining "Urban": A New Way to Measure Metropolitan Areas. OECD Publishing, Paris. https://doi.org/10.1787/9789264174108-en</w:t>
      </w:r>
    </w:p>
    <w:p>
      <w:r>
        <w:rPr>
          <w:b w:val="0"/>
        </w:rPr>
        <w:t>Openshaw, S., Taylor, P.J., 1979. A million or so correlation coefficients: three experiments on the modifiable areal unit problem. In: Wrigley, N. (Ed.), Statistical Applications in the Spatial Sciences. Pion, London, pp. 127–144.</w:t>
      </w:r>
    </w:p>
    <w:p>
      <w:r>
        <w:rPr>
          <w:b w:val="0"/>
        </w:rPr>
        <w:t>Owen, S.H., Daskin, M.S., 1998. Strategic facility location: a review. European Journal of Operational Research 111(3), 423–447. https://doi.org/10.1016/S0377-2217(98)00186-6</w:t>
      </w:r>
    </w:p>
    <w:p>
      <w:r>
        <w:rPr>
          <w:b w:val="0"/>
        </w:rPr>
        <w:t>Paasi, A., 2009. Political boundaries. In: Kitchin, R., Thrift, N. (Eds.), International Encyclopedia of Human Geography. Elsevier, Oxford. https://doi.org/10.1016/B978-008044910-4.00793-8</w:t>
      </w:r>
    </w:p>
    <w:p>
      <w:r>
        <w:rPr>
          <w:b w:val="0"/>
        </w:rPr>
        <w:t>Painter, J., 2010. Rethinking territory. Antipode 42(5), 1090–1118. https://doi.org/10.1111/j.1467-8330.2010.00795.x</w:t>
      </w:r>
    </w:p>
    <w:p>
      <w:r>
        <w:rPr>
          <w:b w:val="0"/>
        </w:rPr>
        <w:t>Perron, L., Furnon, V., 2022. OR-Tools CP-SAT Solver [Computer software]. Google.</w:t>
      </w:r>
    </w:p>
    <w:p>
      <w:r>
        <w:rPr>
          <w:b w:val="0"/>
        </w:rPr>
        <w:t>Polsby, D.D., Popper, R.D., 1991. The third criterion: compactness as a procedural safeguard against partisan gerrymandering. Yale Law &amp; Policy Review 9, 301–353.</w:t>
      </w:r>
    </w:p>
    <w:p>
      <w:r>
        <w:rPr>
          <w:b w:val="0"/>
        </w:rPr>
        <w:t>Public Offices Election Act, Law No. 100 of 1950, as amended through 2022; Annex 1 (single-member districts) (Japan). e-Gov law database.</w:t>
      </w:r>
    </w:p>
    <w:p>
      <w:r>
        <w:rPr>
          <w:b w:val="0"/>
        </w:rPr>
        <w:t>Ricca, F., Scozzari, A., Simeone, B., 2013. Political districting: from classical models to recent approaches. Annals of Operations Research 204, 271–299. https://doi.org/10.1007/s10479-012-1267-2</w:t>
      </w:r>
    </w:p>
    <w:p>
      <w:r>
        <w:rPr>
          <w:b w:val="0"/>
        </w:rPr>
        <w:t>Tam Cho, W.K., Liu, Y.Y., 2016. Toward a talismanic redistricting tool: a computational method for identifying extreme redistricting plans. Election Law Journal 15(4), 351–366. https://doi.org/10.1089/elj.2016.0384</w:t>
      </w:r>
    </w:p>
    <w:p>
      <w:r>
        <w:rPr>
          <w:b w:val="0"/>
        </w:rPr>
        <w:t>Taylor, P., Johnston, R., 1979. Geography of Elections. Penguin, Harmondsworth. https://doi.org/10.4324/9781315747613</w:t>
      </w:r>
    </w:p>
    <w:p>
      <w:r>
        <w:br w:type="page"/>
      </w:r>
    </w:p>
    <w:p>
      <w:pPr>
        <w:pStyle w:val="Heading1"/>
      </w:pPr>
      <w:r>
        <w:t>Remaining figures and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