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 — Socio-Economic Planning Sciences</w:t>
      </w:r>
    </w:p>
    <w:p>
      <w:r>
        <w:rPr>
          <w:b w:val="0"/>
        </w:rPr>
        <w:t>Dear Editors,</w:t>
      </w:r>
    </w:p>
    <w:p>
      <w:r>
        <w:rPr>
          <w:b w:val="0"/>
        </w:rPr>
        <w:t>We submit "Pricing territorial alignment: the opportunity cost of an inherited administrative boundary in electoral-district spatial optimization, Kyoto–Shiga, Japan" for consideration in Socio-Economic Planning Sciences.</w:t>
      </w:r>
    </w:p>
    <w:p>
      <w:r>
        <w:rPr>
          <w:b w:val="0"/>
        </w:rPr>
        <w:t xml:space="preserve">Public services are delivered through overlapping territorial systems — electoral districts, health regions, school catchments, emergency and transport service areas — whose efficient boundaries need not coincide. Yet planning practice often treats a visible administrative–functional mismatch as a defect to be corrected, presuming alignment to be beneficial. This paper reframes the issue as a constrained-planning problem: requiring a public function to respect an inherited boundary restricts its feasible set, and that restriction has a measurable opportunity cost. We formalize the estimand </w:t>
      </w:r>
      <m:oMath>
        <m:sSub>
          <m:e>
            <m:r>
              <m:rPr>
                <m:sty m:val="i"/>
              </m:rPr>
              <w:rPr>
                <w:rFonts w:ascii="Times New Roman" w:hAnsi="Times New Roman" w:cs="Times New Roman" w:eastAsia="Times New Roman"/>
              </w:rPr>
              <m:t>C</m:t>
            </m:r>
          </m:e>
          <m:sub>
            <m:r>
              <m:rPr>
                <m:sty m:val="i"/>
              </m:rPr>
              <w:rPr>
                <w:rFonts w:ascii="Times New Roman" w:hAnsi="Times New Roman" w:cs="Times New Roman" w:eastAsia="Times New Roman"/>
              </w:rPr>
              <m:t>b</m:t>
            </m:r>
            <m:r>
              <m:rPr>
                <m:sty m:val="i"/>
              </m:rPr>
              <w:rPr>
                <w:rFonts w:ascii="Times New Roman" w:hAnsi="Times New Roman" w:cs="Times New Roman" w:eastAsia="Times New Roman"/>
              </w:rPr>
              <m:t>o</m:t>
            </m:r>
            <m:r>
              <m:rPr>
                <m:sty m:val="i"/>
              </m:rPr>
              <w:rPr>
                <w:rFonts w:ascii="Times New Roman" w:hAnsi="Times New Roman" w:cs="Times New Roman" w:eastAsia="Times New Roman"/>
              </w:rPr>
              <m:t>r</m:t>
            </m:r>
            <m:r>
              <m:rPr>
                <m:sty m:val="i"/>
              </m:rPr>
              <w:rPr>
                <w:rFonts w:ascii="Times New Roman" w:hAnsi="Times New Roman" w:cs="Times New Roman" w:eastAsia="Times New Roman"/>
              </w:rPr>
              <m:t>d</m:t>
            </m:r>
            <m:r>
              <m:rPr>
                <m:sty m:val="i"/>
              </m:rPr>
              <w:rPr>
                <w:rFonts w:ascii="Times New Roman" w:hAnsi="Times New Roman" w:cs="Times New Roman" w:eastAsia="Times New Roman"/>
              </w:rPr>
              <m:t>e</m:t>
            </m:r>
            <m:r>
              <m:rPr>
                <m:sty m:val="i"/>
              </m:rPr>
              <w:rPr>
                <w:rFonts w:ascii="Times New Roman" w:hAnsi="Times New Roman" w:cs="Times New Roman" w:eastAsia="Times New Roman"/>
              </w:rPr>
              <m:t>r</m:t>
            </m:r>
          </m:sub>
        </m:sSub>
        <m:r>
          <m:rPr>
            <m:sty m:val="p"/>
          </m:rPr>
          <w:rPr>
            <w:rFonts w:ascii="Times New Roman" w:hAnsi="Times New Roman" w:cs="Times New Roman" w:eastAsia="Times New Roman"/>
          </w:rPr>
          <m:t>=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Times New Roma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Times New Roman"/>
              </w:rPr>
              <m:t>*</m:t>
            </m:r>
          </m:sup>
        </m:sSup>
        <m:r>
          <m:rPr>
            <m:sty m:val="p"/>
          </m:rPr>
          <w:rPr>
            <w:rFonts w:ascii="Times New Roman" w:hAnsi="Times New Roman" w:cs="Times New Roman" w:eastAsia="Times New Roman"/>
          </w:rPr>
          <m:t xml:space="preserve"> </m:t>
        </m:r>
        <m:r>
          <m:rPr>
            <m:sty m:val="p"/>
          </m:rPr>
          <w:rPr>
            <w:rFonts w:ascii="Times New Roman" w:hAnsi="Times New Roman" w:cs="Times New Roman" w:eastAsia="Times New Roman"/>
          </w:rPr>
          <m:t>(</m:t>
        </m:r>
        <m:r>
          <m:rPr>
            <m:sty m:val="i"/>
          </m:rPr>
          <w:rPr>
            <w:rFonts w:ascii="Times New Roman" w:hAnsi="Times New Roman" w:cs="Times New Roman" w:eastAsia="Times New Roman"/>
          </w:rPr>
          <m:t>B</m:t>
        </m:r>
        <m:r>
          <m:rPr>
            <m:sty m:val="i"/>
          </m:rPr>
          <w:rPr>
            <w:rFonts w:ascii="Times New Roman" w:hAnsi="Times New Roman" w:cs="Times New Roman" w:eastAsia="Times New Roman"/>
          </w:rPr>
          <m:t>o</m:t>
        </m:r>
        <m:r>
          <m:rPr>
            <m:sty m:val="i"/>
          </m:rPr>
          <w:rPr>
            <w:rFonts w:ascii="Times New Roman" w:hAnsi="Times New Roman" w:cs="Times New Roman" w:eastAsia="Times New Roman"/>
          </w:rPr>
          <m:t>u</m:t>
        </m:r>
        <m:r>
          <m:rPr>
            <m:sty m:val="i"/>
          </m:rPr>
          <w:rPr>
            <w:rFonts w:ascii="Times New Roman" w:hAnsi="Times New Roman" w:cs="Times New Roman" w:eastAsia="Times New Roman"/>
          </w:rPr>
          <m:t>n</m:t>
        </m:r>
        <m:r>
          <m:rPr>
            <m:sty m:val="i"/>
          </m:rPr>
          <w:rPr>
            <w:rFonts w:ascii="Times New Roman" w:hAnsi="Times New Roman" w:cs="Times New Roman" w:eastAsia="Times New Roman"/>
          </w:rPr>
          <m:t>d</m:t>
        </m:r>
        <m:r>
          <m:rPr>
            <m:sty m:val="i"/>
          </m:rPr>
          <w:rPr>
            <w:rFonts w:ascii="Times New Roman" w:hAnsi="Times New Roman" w:cs="Times New Roman" w:eastAsia="Times New Roman"/>
          </w:rPr>
          <m:t>a</m:t>
        </m:r>
        <m:r>
          <m:rPr>
            <m:sty m:val="i"/>
          </m:rPr>
          <w:rPr>
            <w:rFonts w:ascii="Times New Roman" w:hAnsi="Times New Roman" w:cs="Times New Roman" w:eastAsia="Times New Roman"/>
          </w:rPr>
          <m:t>r</m:t>
        </m:r>
        <m:r>
          <m:rPr>
            <m:sty m:val="i"/>
          </m:rPr>
          <w:rPr>
            <w:rFonts w:ascii="Times New Roman" w:hAnsi="Times New Roman" w:cs="Times New Roman" w:eastAsia="Times New Roman"/>
          </w:rPr>
          <m:t>y</m:t>
        </m:r>
        <m:r>
          <m:rPr>
            <m:sty m:val="p"/>
          </m:rPr>
          <w:rPr>
            <w:rFonts w:ascii="Times New Roman" w:hAnsi="Times New Roman" w:cs="Times New Roman" w:eastAsia="Times New Roman"/>
          </w:rPr>
          <m:t xml:space="preserve"> </m:t>
        </m:r>
        <m:r>
          <m:rPr>
            <m:sty m:val="i"/>
          </m:rPr>
          <w:rPr>
            <w:rFonts w:ascii="Times New Roman" w:hAnsi="Times New Roman" w:cs="Times New Roman" w:eastAsia="Times New Roman"/>
          </w:rPr>
          <m:t>O</m:t>
        </m:r>
        <m:r>
          <m:rPr>
            <m:sty m:val="i"/>
          </m:rPr>
          <w:rPr>
            <w:rFonts w:ascii="Times New Roman" w:hAnsi="Times New Roman" w:cs="Times New Roman" w:eastAsia="Times New Roman"/>
          </w:rPr>
          <m:t>N</m:t>
        </m:r>
        <m:r>
          <m:rPr>
            <m:sty m:val="p"/>
          </m:rPr>
          <w:rPr>
            <w:rFonts w:ascii="Times New Roman" w:hAnsi="Times New Roman" w:cs="Times New Roman" w:eastAsia="Times New Roman"/>
          </w:rPr>
          <m:t>)</m:t>
        </m:r>
        <m:r>
          <m:rPr>
            <m:sty m:val="p"/>
          </m:rPr>
          <w:rPr>
            <w:rFonts w:ascii="Times New Roman" w:hAnsi="Times New Roman" w:cs="Times New Roman" w:eastAsia="Times New Roman"/>
          </w:rPr>
          <m:t>−</m:t>
        </m:r>
        <m:sSup>
          <m:e>
            <m:r>
              <m:rPr>
                <m:sty m:val="i"/>
              </m:rPr>
              <w:rPr>
                <w:rFonts w:ascii="Times New Roman" w:hAnsi="Times New Roman" w:cs="Times New Roman" w:eastAsia="Times New Roma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Times New Roman"/>
              </w:rPr>
              <m:t>*</m:t>
            </m:r>
          </m:sup>
        </m:sSup>
        <m:r>
          <m:rPr>
            <m:sty m:val="p"/>
          </m:rPr>
          <w:rPr>
            <w:rFonts w:ascii="Times New Roman" w:hAnsi="Times New Roman" w:cs="Times New Roman" w:eastAsia="Times New Roman"/>
          </w:rPr>
          <m:t xml:space="preserve"> </m:t>
        </m:r>
        <m:r>
          <m:rPr>
            <m:sty m:val="p"/>
          </m:rPr>
          <w:rPr>
            <w:rFonts w:ascii="Times New Roman" w:hAnsi="Times New Roman" w:cs="Times New Roman" w:eastAsia="Times New Roman"/>
          </w:rPr>
          <m:t>(</m:t>
        </m:r>
        <m:r>
          <m:rPr>
            <m:sty m:val="i"/>
          </m:rPr>
          <w:rPr>
            <w:rFonts w:ascii="Times New Roman" w:hAnsi="Times New Roman" w:cs="Times New Roman" w:eastAsia="Times New Roman"/>
          </w:rPr>
          <m:t>B</m:t>
        </m:r>
        <m:r>
          <m:rPr>
            <m:sty m:val="i"/>
          </m:rPr>
          <w:rPr>
            <w:rFonts w:ascii="Times New Roman" w:hAnsi="Times New Roman" w:cs="Times New Roman" w:eastAsia="Times New Roman"/>
          </w:rPr>
          <m:t>o</m:t>
        </m:r>
        <m:r>
          <m:rPr>
            <m:sty m:val="i"/>
          </m:rPr>
          <w:rPr>
            <w:rFonts w:ascii="Times New Roman" w:hAnsi="Times New Roman" w:cs="Times New Roman" w:eastAsia="Times New Roman"/>
          </w:rPr>
          <m:t>u</m:t>
        </m:r>
        <m:r>
          <m:rPr>
            <m:sty m:val="i"/>
          </m:rPr>
          <w:rPr>
            <w:rFonts w:ascii="Times New Roman" w:hAnsi="Times New Roman" w:cs="Times New Roman" w:eastAsia="Times New Roman"/>
          </w:rPr>
          <m:t>n</m:t>
        </m:r>
        <m:r>
          <m:rPr>
            <m:sty m:val="i"/>
          </m:rPr>
          <w:rPr>
            <w:rFonts w:ascii="Times New Roman" w:hAnsi="Times New Roman" w:cs="Times New Roman" w:eastAsia="Times New Roman"/>
          </w:rPr>
          <m:t>d</m:t>
        </m:r>
        <m:r>
          <m:rPr>
            <m:sty m:val="i"/>
          </m:rPr>
          <w:rPr>
            <w:rFonts w:ascii="Times New Roman" w:hAnsi="Times New Roman" w:cs="Times New Roman" w:eastAsia="Times New Roman"/>
          </w:rPr>
          <m:t>a</m:t>
        </m:r>
        <m:r>
          <m:rPr>
            <m:sty m:val="i"/>
          </m:rPr>
          <w:rPr>
            <w:rFonts w:ascii="Times New Roman" w:hAnsi="Times New Roman" w:cs="Times New Roman" w:eastAsia="Times New Roman"/>
          </w:rPr>
          <m:t>r</m:t>
        </m:r>
        <m:r>
          <m:rPr>
            <m:sty m:val="i"/>
          </m:rPr>
          <w:rPr>
            <w:rFonts w:ascii="Times New Roman" w:hAnsi="Times New Roman" w:cs="Times New Roman" w:eastAsia="Times New Roman"/>
          </w:rPr>
          <m:t>y</m:t>
        </m:r>
        <m:r>
          <m:rPr>
            <m:sty m:val="p"/>
          </m:rPr>
          <w:rPr>
            <w:rFonts w:ascii="Times New Roman" w:hAnsi="Times New Roman" w:cs="Times New Roman" w:eastAsia="Times New Roman"/>
          </w:rPr>
          <m:t xml:space="preserve"> </m:t>
        </m:r>
        <m:r>
          <m:rPr>
            <m:sty m:val="i"/>
          </m:rPr>
          <w:rPr>
            <w:rFonts w:ascii="Times New Roman" w:hAnsi="Times New Roman" w:cs="Times New Roman" w:eastAsia="Times New Roman"/>
          </w:rPr>
          <m:t>O</m:t>
        </m:r>
        <m:r>
          <m:rPr>
            <m:sty m:val="i"/>
          </m:rPr>
          <w:rPr>
            <w:rFonts w:ascii="Times New Roman" w:hAnsi="Times New Roman" w:cs="Times New Roman" w:eastAsia="Times New Roman"/>
          </w:rPr>
          <m:t>F</m:t>
        </m:r>
        <m:r>
          <m:rPr>
            <m:sty m:val="i"/>
          </m:rPr>
          <w:rPr>
            <w:rFonts w:ascii="Times New Roman" w:hAnsi="Times New Roman" w:cs="Times New Roman" w:eastAsia="Times New Roman"/>
          </w:rPr>
          <m:t>F</m:t>
        </m:r>
        <m:r>
          <m:rPr>
            <m:sty m:val="p"/>
          </m:rPr>
          <w:rPr>
            <w:rFonts w:ascii="Times New Roman" w:hAnsi="Times New Roman" w:cs="Times New Roman" w:eastAsia="Times New Roman"/>
          </w:rPr>
          <m:t>)</m:t>
        </m:r>
      </m:oMath>
      <w:r>
        <w:rPr>
          <w:b w:val="0"/>
        </w:rPr>
        <w:t xml:space="preserve"> and estimate it cleanly where a controlled comparison is possible: electoral districting under Japan's statutory rule that House of Representatives districts not straddle prefectural boundaries.</w:t>
      </w:r>
    </w:p>
    <w:p>
      <w:r>
        <w:rPr>
          <w:b w:val="0"/>
        </w:rPr>
        <w:t>The Kyoto–Shiga border — a prefectural line bisecting a commuting field of roughly 80,000 daily trips — is the test bed. Using matched exact (CP-SAT, municipality scale) and heuristic (seeded simulated annealing, census small-area scale) optimizations under identical objectives, we show the constraint is cheap: the true cost is bounded to at most ~30% of the incumbent objective scale, the best-found ON–OFF difference at small-area scale is zero, and the real border crosses less commuting flow than every one of 200 matched placebo borders — while most placebo borders admit no feasible constrained map at all. The headline is the counterintuitive result: a conspicuous mismatch did not imply a large marginal efficiency loss.</w:t>
      </w:r>
    </w:p>
    <w:p>
      <w:r>
        <w:rPr>
          <w:b w:val="0"/>
        </w:rPr>
        <w:t>We believe the paper fits SEPS's mission — quantitative public-sector decision-making under constraint — because the contribution is methodological as much as empirical: territorial congruence is treated as a design decision whose cost can be priced and compared against its benefits, rather than presumed. The study is strictly nonpartisan (no electoral outcome variables anywhere), fully reproducible end-to-end from official Japanese open data (e-Stat statistical GIS, Census Table 6-1, IPSS projections, e-Gov statute), with a published provenance ledger, QC report, claim–evidence matrix, and code.</w:t>
      </w:r>
    </w:p>
    <w:p>
      <w:r>
        <w:rPr>
          <w:b w:val="0"/>
        </w:rPr>
        <w:t>The manuscript is original, not under consideration elsewhere, and all authors approve its submission.</w:t>
      </w:r>
    </w:p>
    <w:p>
      <w:r>
        <w:rPr>
          <w:b w:val="0"/>
        </w:rPr>
        <w:t>Corresponding author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