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Pricing territorial alignment: the opportunity cost of an inherited administrative boundary in electoral-district spatial optimization, Kyoto–Shiga, Japan</w:t>
      </w:r>
    </w:p>
    <w:p>
      <w:pPr>
        <w:pStyle w:val="Heading1"/>
      </w:pPr>
      <w:r>
        <w:t>Highlights</w:t>
      </w:r>
    </w:p>
    <w:p>
      <w:r>
        <w:rPr>
          <w:b w:val="0"/>
        </w:rPr>
        <w:t>- Territorial alignment is a constraint to be priced, not a default objective.</w:t>
      </w:r>
    </w:p>
    <w:p>
      <w:r>
        <w:rPr>
          <w:b w:val="0"/>
        </w:rPr>
        <w:t>- Kyoto–Shiga border cost: bounded at municipality scale; best-found zero.</w:t>
      </w:r>
    </w:p>
    <w:p>
      <w:r>
        <w:rPr>
          <w:b w:val="0"/>
        </w:rPr>
        <w:t>- The real border crosses less commuting flow than all 200 matched placebos.</w:t>
      </w:r>
    </w:p>
    <w:p>
      <w:r>
        <w:rPr>
          <w:b w:val="0"/>
        </w:rPr>
        <w:t>- Most placebo borders admit no feasible constrained map at the same tolerance.</w:t>
      </w:r>
    </w:p>
    <w:p>
      <w:r>
        <w:rPr>
          <w:b w:val="0"/>
        </w:rPr>
        <w:t>- Visible administrative–functional mismatch does not establish inefficiency.</w:t>
      </w:r>
    </w:p>
    <w:p>
      <w:pPr>
        <w:pStyle w:val="Heading1"/>
      </w:pPr>
      <w:r>
        <w:t>Abstract</w:t>
      </w:r>
    </w:p>
    <w:p>
      <w:r>
        <w:rPr>
          <w:b w:val="0"/>
        </w:rPr>
        <w:t xml:space="preserve">Public services are delivered through overlapping territorial systems whose boundaries need not coincide, yet planning often treats administrative–functional mismatch as a defect to be corrected. We reframe territorial alignment as a constrained-planning decision whose opportunity cost can be measured, and estimate it for one public function — electoral districting — where the cost is defined by the paired estimand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r</m:t>
            </m:r>
            <m:r>
              <m:rPr>
                <m:sty m:val="i"/>
              </m:rPr>
              <w:rPr>
                <w:rFonts w:ascii="Times New Roman" w:hAnsi="Times New Roman" w:cs="Times New Roman" w:eastAsia="Times New Roman"/>
              </w:rPr>
              <m:t>d</m:t>
            </m:r>
            <m:r>
              <m:rPr>
                <m:sty m:val="i"/>
              </m:rPr>
              <w:rPr>
                <w:rFonts w:ascii="Times New Roman" w:hAnsi="Times New Roman" w:cs="Times New Roman" w:eastAsia="Times New Roman"/>
              </w:rPr>
              <m:t>e</m:t>
            </m:r>
            <m:r>
              <m:rPr>
                <m:sty m:val="i"/>
              </m:rPr>
              <w:rPr>
                <w:rFonts w:ascii="Times New Roman" w:hAnsi="Times New Roman" w:cs="Times New Roman" w:eastAsia="Times New Roman"/>
              </w:rPr>
              <m:t>r</m:t>
            </m:r>
          </m:sub>
        </m:sSub>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r>
          <m:rPr>
            <m:sty m:val="p"/>
          </m:rPr>
          <w:rPr>
            <w:rFonts w:ascii="Times New Roman" w:hAnsi="Times New Roman" w:cs="Times New Roman" w:eastAsia="Times New Roman"/>
          </w:rPr>
          <m:t>)</m:t>
        </m:r>
      </m:oMath>
      <w:r>
        <w:rPr>
          <w:b w:val="0"/>
        </w:rPr>
        <w:t>: the deterioration in a nonpartisan districting objective attributable solely to the statutory rule that Japan's House of Representatives districts not straddle prefectural boundaries. The Kyoto–Shiga border, which bisects a commuting field of 79,466 cross-prefecture trips (2020 census), is the test bed. Solving matched problems at two spatial resolutions — exact CP-SAT on municipalities and seeded simulated annealing on census small areas — we find the true constraint cost is bounded but not tightly identified at municipality scale ([0, 532,293] objective units, at most ~30% of incumbent scale) and zero among best-found small-area maps. The real border crosses fewer trips (39,733) than all 200 matched placebo borders (median 99,420), and 61% of placebo borders admit no feasible map at the same tolerance; the inherited line is unusually well placed, not generic. Visible territorial mismatch did not imply a large marginal efficiency loss: alignment should be evaluated against its opportunity cost rather than presumed beneficial.</w:t>
      </w:r>
    </w:p>
    <w:p>
      <w:r>
        <w:rPr>
          <w:b/>
        </w:rPr>
        <w:t>Keywords:</w:t>
      </w:r>
      <w:r>
        <w:rPr>
          <w:b w:val="0"/>
        </w:rPr>
        <w:t xml:space="preserve"> public-sector planning; territorial alignment; spatial optimization; administrative boundaries; electoral districting; functional connectivity</w:t>
      </w:r>
    </w:p>
    <w:p>
      <w:pPr>
        <w:pStyle w:val="Heading1"/>
      </w:pPr>
      <w:r>
        <w:t>1. Introduction</w:t>
      </w:r>
    </w:p>
    <w:p>
      <w:r>
        <w:rPr>
          <w:b w:val="0"/>
        </w:rPr>
        <w:t>Public services are delivered through space, and they are delivered through many spaces at once. A single territory is simultaneously partitioned into electoral districts, health-service regions, school catchments, emergency-response zones, transport and utility service areas — each drawn, at some point in institutional history, to optimize a different objective under different constraints [1,2]. Because these systems answer different questions, there is no general reason their efficient boundaries should coincide. Yet when an administrative boundary is visibly misaligned with a functional geography — when a statutory line bisects a commuting field, a market area, or a service region — the mismatch is commonly treated as a defect to be corrected, and harmonization of the boundary with the functional geography is treated as the presumptively correct remedy.</w:t>
      </w:r>
    </w:p>
    <w:p>
      <w:r>
        <w:rPr>
          <w:b w:val="0"/>
        </w:rPr>
        <w:t xml:space="preserve">This paper questions the presumption. Requiring territorial alignment is itself a constraint on the feasible set of plans, and constraints have opportunity costs. For a public function s with feasible plan set </w:t>
      </w:r>
      <m:oMath>
        <m:sSub>
          <m:e>
            <m:r>
              <m:rPr>
                <m:sty m:val="i"/>
              </m:rPr>
              <w:rPr>
                <w:rFonts w:ascii="Times New Roman" w:hAnsi="Times New Roman" w:cs="Times New Roman" w:eastAsia="Times New Roman"/>
              </w:rPr>
              <m:t>F</m:t>
            </m:r>
          </m:e>
          <m:sub>
            <m:r>
              <m:rPr>
                <m:sty m:val="p"/>
              </m:rPr>
              <w:rPr>
                <w:rFonts w:ascii="Times New Roman" w:hAnsi="Times New Roman" w:cs="Times New Roman" w:eastAsia="Times New Roman"/>
              </w:rPr>
              <m:t>0</m:t>
            </m:r>
          </m:sub>
        </m:sSub>
      </m:oMath>
      <w:r>
        <w:rPr>
          <w:b w:val="0"/>
        </w:rPr>
        <w:t xml:space="preserve"> and objective </w:t>
      </w:r>
      <m:oMath>
        <m:sSub>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D</m:t>
        </m:r>
        <m:r>
          <m:rPr>
            <m:sty m:val="p"/>
          </m:rPr>
          <w:rPr>
            <w:rFonts w:ascii="Times New Roman" w:hAnsi="Times New Roman" w:cs="Times New Roman" w:eastAsia="Times New Roman"/>
          </w:rPr>
          <m:t>)</m:t>
        </m:r>
      </m:oMath>
      <w:r>
        <w:rPr>
          <w:b w:val="0"/>
        </w:rPr>
        <w:t xml:space="preserve">, the optimal unconstrained plan is </w:t>
      </w:r>
      <m:oMath>
        <m:sSubSup>
          <m:e>
            <m:r>
              <m:rPr>
                <m:sty m:val="i"/>
              </m:rPr>
              <w:rPr>
                <w:rFonts w:ascii="Times New Roman" w:hAnsi="Times New Roman" w:cs="Times New Roman" w:eastAsia="Times New Roman"/>
              </w:rPr>
              <m:t>D</m:t>
            </m:r>
          </m:e>
          <m:sub>
            <m:r>
              <m:rPr>
                <m:sty m:val="i"/>
              </m:rPr>
              <w:rPr>
                <w:rFonts w:ascii="Times New Roman" w:hAnsi="Times New Roman" w:cs="Times New Roman" w:eastAsia="Times New Roman"/>
              </w:rPr>
              <m:t>s</m:t>
            </m:r>
          </m:sub>
          <m:sup>
            <m:r>
              <m:rPr>
                <m:sty m:val="p"/>
              </m:rPr>
              <w:rPr>
                <w:rFonts w:ascii="Times New Roman" w:hAnsi="Times New Roman" w:cs="Times New Roman" w:eastAsia="Times New Roman"/>
              </w:rPr>
              <m:t>*</m:t>
            </m:r>
          </m:sup>
        </m:sSubSup>
        <m:r>
          <m:rPr>
            <m:sty m:val="p"/>
          </m:rPr>
          <w:rPr>
            <w:rFonts w:ascii="Times New Roman" w:hAnsi="Times New Roman" w:cs="Times New Roman" w:eastAsia="Times New Roman"/>
          </w:rPr>
          <m:t>=</m:t>
        </m:r>
        <m:r>
          <m:rPr>
            <m:sty m:val="i"/>
          </m:rPr>
          <w:rPr>
            <w:rFonts w:ascii="Times New Roman" w:hAnsi="Times New Roman" w:cs="Times New Roman" w:eastAsia="Times New Roman"/>
          </w:rPr>
          <m:t>\arg</m:t>
        </m:r>
        <m:sSub>
          <m:e>
            <m:r>
              <m:rPr>
                <m:sty m:val="p"/>
              </m:rPr>
              <w:rPr>
                <w:rFonts w:ascii="Times New Roman" w:hAnsi="Times New Roman" w:cs="Times New Roman" w:eastAsia="Times New Roman"/>
              </w:rPr>
              <m:t>min</m:t>
            </m:r>
          </m:e>
          <m:sub>
            <m:r>
              <m:rPr>
                <m:sty m:val="i"/>
              </m:rPr>
              <w:rPr>
                <w:rFonts w:ascii="Times New Roman" w:hAnsi="Times New Roman" w:cs="Times New Roman" w:eastAsia="Times New Roman"/>
              </w:rPr>
              <m:t>D</m:t>
            </m:r>
          </m:sub>
        </m:sSub>
        <m:sSub>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D</m:t>
        </m:r>
        <m:r>
          <m:rPr>
            <m:sty m:val="p"/>
          </m:rPr>
          <w:rPr>
            <w:rFonts w:ascii="Times New Roman" w:hAnsi="Times New Roman" w:cs="Times New Roman" w:eastAsia="Times New Roman"/>
          </w:rPr>
          <m:t>)</m:t>
        </m:r>
      </m:oMath>
      <w:r>
        <w:rPr>
          <w:b w:val="0"/>
        </w:rPr>
        <w:t xml:space="preserve">; imposing a boundary or alignment requirement B restricts the feasible set to </w:t>
      </w:r>
      <m:oMath>
        <m:sSub>
          <m:e>
            <m:r>
              <m:rPr>
                <m:sty m:val="i"/>
              </m:rPr>
              <w:rPr>
                <w:rFonts w:ascii="Times New Roman" w:hAnsi="Times New Roman" w:cs="Times New Roman" w:eastAsia="Times New Roman"/>
              </w:rPr>
              <m:t>F</m:t>
            </m:r>
          </m:e>
          <m:sub>
            <m:r>
              <m:rPr>
                <m:sty m:val="i"/>
              </m:rPr>
              <w:rPr>
                <w:rFonts w:ascii="Times New Roman" w:hAnsi="Times New Roman" w:cs="Times New Roman" w:eastAsia="Times New Roman"/>
              </w:rPr>
              <m:t>B</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F</m:t>
            </m:r>
          </m:e>
          <m:sub>
            <m:r>
              <m:rPr>
                <m:sty m:val="p"/>
              </m:rPr>
              <w:rPr>
                <w:rFonts w:ascii="Times New Roman" w:hAnsi="Times New Roman" w:cs="Times New Roman" w:eastAsia="Times New Roman"/>
              </w:rPr>
              <m:t>0</m:t>
            </m:r>
          </m:sub>
        </m:sSub>
      </m:oMath>
      <w:r>
        <w:rPr>
          <w:b w:val="0"/>
        </w:rPr>
        <w:t xml:space="preserve"> and imposes a non-negative opportunity cost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s</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Sup>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up>
            <m:r>
              <m:rPr>
                <m:sty m:val="p"/>
              </m:rPr>
              <w:rPr>
                <w:rFonts w:ascii="Times New Roman" w:hAnsi="Times New Roman" w:cs="Times New Roman" w:eastAsia="Times New Roman"/>
              </w:rPr>
              <m:t>*</m:t>
            </m:r>
          </m:sup>
        </m:sSubSup>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Sup>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up>
            <m:r>
              <m:rPr>
                <m:sty m:val="p"/>
              </m:rPr>
              <w:rPr>
                <w:rFonts w:ascii="Times New Roman" w:hAnsi="Times New Roman" w:cs="Times New Roman" w:eastAsia="Times New Roman"/>
              </w:rPr>
              <m:t>*</m:t>
            </m:r>
          </m:sup>
        </m:sSubSup>
        <m:r>
          <m:rPr>
            <m:sty m:val="p"/>
          </m:rPr>
          <w:rPr>
            <w:rFonts w:ascii="Times New Roman" w:hAnsi="Times New Roman" w:cs="Times New Roman" w:eastAsia="Times New Roman"/>
          </w:rPr>
          <m:t>(</m:t>
        </m:r>
        <m:r>
          <m:rPr>
            <m:sty m:val="p"/>
          </m:rPr>
          <w:rPr>
            <w:rFonts w:ascii="Times New Roman" w:hAnsi="Times New Roman" w:cs="Times New Roman" w:eastAsia="Times New Roman"/>
          </w:rPr>
          <m:t>0</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0</m:t>
        </m:r>
      </m:oMath>
      <w:r>
        <w:rPr>
          <w:b w:val="0"/>
        </w:rPr>
        <w:t xml:space="preserve"> on the true minima. Under limited resources and heterogeneous objectives, whether alignment is warranted is an empirical question: it depends on whether the coordination, administrative, legibility, or accountability benefits of a common geography exceed this cost. Observed mismatch, by itself, is therefore evidence of nothing more than different geometries — it is not evidence of inefficiency.</w:t>
      </w:r>
    </w:p>
    <w:p>
      <w:r>
        <w:rPr>
          <w:b w:val="0"/>
        </w:rPr>
        <w:t xml:space="preserve">Measuring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s</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oMath>
      <w:r>
        <w:rPr>
          <w:b w:val="0"/>
        </w:rPr>
        <w:t xml:space="preserve"> cleanly requires a controlled comparison that administrative processes rarely provide: two plans produced by the same optimizer, the same constraints, and the same data, differing only in whether the boundary requirement is applied. Electoral districting supplies an unusually clean test bed. Districting is a spatial public-sector design problem with explicit, legally grounded objectives — population capacity and equality, contiguity, compactness, municipal coherence — a rich optimization literature [3,4,5,6,7], and, in Japan, a hard statutory version of the constraint: since the 1994 introduction of single-member districts for the House of Representatives, districts have been allocated and delimited within each prefecture, so that no district contains territory of two prefectures [8]. The redistricting literature — dominated by compactness metrics [9], optimization formulations [4,5], ensemble benchmarking [6,7], and the classic theory of territorial apportionment [10] — has rarely isolated the price of that inherited constraint itself.</w:t>
      </w:r>
    </w:p>
    <w:p>
      <w:r>
        <w:rPr>
          <w:b w:val="0"/>
        </w:rPr>
        <w:t>The Kyoto–Shiga prefectural boundary in Japan's Kinki region is an ideal case. The two prefectures share a roughly 118 km border that is also the watershed of the Lake Biwa basin. The southern segment bisects a continuous urban fabric: Ōtsu (Shiga) adjoins Kyoto City, and the 2020 census records 79,466 commuting and schooling trips crossing the border [11]. The border is thus simultaneously a hard statutory line and an administrative boundary whose functional rationale — the watershed — is unrelated to representation.</w:t>
      </w:r>
    </w:p>
    <w:p>
      <w:r>
        <w:rPr>
          <w:b w:val="0"/>
        </w:rPr>
        <w:t xml:space="preserve">Our contributions are fivefold. First, we formalize the administrative-boundary constraint as a paired-optimization estimand,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r</m:t>
            </m:r>
            <m:r>
              <m:rPr>
                <m:sty m:val="i"/>
              </m:rPr>
              <w:rPr>
                <w:rFonts w:ascii="Times New Roman" w:hAnsi="Times New Roman" w:cs="Times New Roman" w:eastAsia="Times New Roman"/>
              </w:rPr>
              <m:t>d</m:t>
            </m:r>
            <m:r>
              <m:rPr>
                <m:sty m:val="i"/>
              </m:rPr>
              <w:rPr>
                <w:rFonts w:ascii="Times New Roman" w:hAnsi="Times New Roman" w:cs="Times New Roman" w:eastAsia="Times New Roman"/>
              </w:rPr>
              <m:t>e</m:t>
            </m:r>
            <m:r>
              <m:rPr>
                <m:sty m:val="i"/>
              </m:rPr>
              <w:rPr>
                <w:rFonts w:ascii="Times New Roman" w:hAnsi="Times New Roman" w:cs="Times New Roman" w:eastAsia="Times New Roman"/>
              </w:rPr>
              <m:t>r</m:t>
            </m:r>
          </m:sub>
        </m:sSub>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r>
          <m:rPr>
            <m:sty m:val="p"/>
          </m:rPr>
          <w:rPr>
            <w:rFonts w:ascii="Times New Roman" w:hAnsi="Times New Roman" w:cs="Times New Roman" w:eastAsia="Times New Roman"/>
          </w:rPr>
          <m:t>)</m:t>
        </m:r>
      </m:oMath>
      <w:r>
        <w:rPr>
          <w:b w:val="0"/>
        </w:rPr>
        <w:t>, and compute it at two spatial resolutions, bracketing the modifiable areal unit problem (MAUP) [12]. Second, we couple the districting model to the commuting/schooling origin–destination network, measuring how much functional connectivity each institutional map retains. Third, we embed the real border in a distribution of 200 matched placebo borders to test whether the constraint's cost is specific to this geography. Fourth, we evaluate temporal robustness under official municipal population projections to 2050. Fifth — and this is the conceptual contribution — we show that the measured cost, rather than the visible mismatch, is what planning should price: territorial congruence is a design decision, not a default objective. All data, code, and provenance are public, and the pipeline regenerates every reported number end-to-end.</w:t>
      </w:r>
    </w:p>
    <w:p>
      <w:r>
        <w:rPr>
          <w:b w:val="0"/>
        </w:rPr>
        <w:t>We emphasize scope. This is a measurement paper about one territorial public function in one case, not a proposal to abolish prefectures or redraw any particular statutory map, and it is deliberately nonpartisan: no variable related to party, candidate, incumbent, or vote share enters the model, the data, or the evaluation. It does not estimate the benefits of alignment — administrative simplicity, coordination, shared infrastructure, public legibility — which are the other side of the decision; it supplies the opportunity-cost side, which is the side that is usually left unmeasured.</w:t>
      </w:r>
    </w:p>
    <w:p>
      <w:pPr>
        <w:pStyle w:val="Heading1"/>
      </w:pPr>
      <w:r>
        <w:t>2. Territorial alignment as a constrained planning problem</w:t>
      </w:r>
    </w:p>
    <w:p>
      <w:r>
        <w:rPr>
          <w:b w:val="0"/>
        </w:rPr>
        <w:t xml:space="preserve">Before turning to the empirical setting we make the framing explicit. Let a public-sector function </w:t>
      </w:r>
      <m:oMath>
        <m:r>
          <m:rPr>
            <m:sty m:val="i"/>
          </m:rPr>
          <w:rPr>
            <w:rFonts w:ascii="Times New Roman" w:hAnsi="Times New Roman" w:cs="Times New Roman" w:eastAsia="Times New Roman"/>
          </w:rPr>
          <m:t>s</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r>
          <m:rPr>
            <m:sty m:val="p"/>
          </m:rPr>
          <w:rPr>
            <w:rFonts w:ascii="Times New Roman" w:hAnsi="Times New Roman" w:cs="Times New Roman" w:eastAsia="Times New Roman"/>
          </w:rPr>
          <m:t>,</m:t>
        </m:r>
        <m:r>
          <m:rPr>
            <m:sty m:val="i"/>
          </m:rPr>
          <w:rPr>
            <w:rFonts w:ascii="Times New Roman" w:hAnsi="Times New Roman" w:cs="Times New Roman" w:eastAsia="Times New Roman"/>
          </w:rPr>
          <m:t>…</m:t>
        </m:r>
        <m:r>
          <m:rPr>
            <m:sty m:val="p"/>
          </m:rPr>
          <w:rPr>
            <w:rFonts w:ascii="Times New Roman" w:hAnsi="Times New Roman" w:cs="Times New Roman" w:eastAsia="Times New Roman"/>
          </w:rPr>
          <m:t>,</m:t>
        </m:r>
        <m:r>
          <m:rPr>
            <m:sty m:val="i"/>
          </m:rPr>
          <w:rPr>
            <w:rFonts w:ascii="Times New Roman" w:hAnsi="Times New Roman" w:cs="Times New Roman" w:eastAsia="Times New Roman"/>
          </w:rPr>
          <m:t>S</m:t>
        </m:r>
        <m:r>
          <m:rPr>
            <m:sty m:val="p"/>
          </m:rPr>
          <w:rPr>
            <w:rFonts w:ascii="Times New Roman" w:hAnsi="Times New Roman" w:cs="Times New Roman" w:eastAsia="Times New Roman"/>
          </w:rPr>
          <m:t>}</m:t>
        </m:r>
      </m:oMath>
      <w:r>
        <w:rPr>
          <w:b w:val="0"/>
        </w:rPr>
        <w:t xml:space="preserve"> be delivered through a territorial plan D chosen from a feasible set </w:t>
      </w:r>
      <m:oMath>
        <m:sSub>
          <m:e>
            <m:r>
              <m:rPr>
                <m:sty m:val="i"/>
              </m:rPr>
              <w:rPr>
                <w:rFonts w:ascii="Times New Roman" w:hAnsi="Times New Roman" w:cs="Times New Roman" w:eastAsia="Times New Roman"/>
              </w:rPr>
              <m:t>F</m:t>
            </m:r>
          </m:e>
          <m:sub>
            <m:r>
              <m:rPr>
                <m:sty m:val="p"/>
              </m:rPr>
              <w:rPr>
                <w:rFonts w:ascii="Times New Roman" w:hAnsi="Times New Roman" w:cs="Times New Roman" w:eastAsia="Times New Roman"/>
              </w:rPr>
              <m:t>0</m:t>
            </m:r>
          </m:sub>
        </m:sSub>
      </m:oMath>
      <w:r>
        <w:rPr>
          <w:b w:val="0"/>
        </w:rPr>
        <w:t xml:space="preserve">, with evaluated quality </w:t>
      </w:r>
      <m:oMath>
        <m:sSub>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D</m:t>
        </m:r>
        <m:r>
          <m:rPr>
            <m:sty m:val="p"/>
          </m:rPr>
          <w:rPr>
            <w:rFonts w:ascii="Times New Roman" w:hAnsi="Times New Roman" w:cs="Times New Roman" w:eastAsia="Times New Roman"/>
          </w:rPr>
          <m:t>)</m:t>
        </m:r>
      </m:oMath>
      <w:r>
        <w:rPr>
          <w:b w:val="0"/>
        </w:rPr>
        <w:t xml:space="preserve"> to be minimized (higher L_s is worse: worse population balance, less compactness, more severed connectivity, or a declared weighted combination). The unconstrained optimum </w:t>
      </w:r>
      <m:oMath>
        <m:sSubSup>
          <m:e>
            <m:r>
              <m:rPr>
                <m:sty m:val="i"/>
              </m:rPr>
              <w:rPr>
                <w:rFonts w:ascii="Times New Roman" w:hAnsi="Times New Roman" w:cs="Times New Roman" w:eastAsia="Times New Roman"/>
              </w:rPr>
              <m:t>D</m:t>
            </m:r>
          </m:e>
          <m:sub>
            <m:r>
              <m:rPr>
                <m:sty m:val="i"/>
              </m:rPr>
              <w:rPr>
                <w:rFonts w:ascii="Times New Roman" w:hAnsi="Times New Roman" w:cs="Times New Roman" w:eastAsia="Times New Roman"/>
              </w:rPr>
              <m:t>s</m:t>
            </m:r>
          </m:sub>
          <m:sup>
            <m:r>
              <m:rPr>
                <m:sty m:val="p"/>
              </m:rPr>
              <w:rPr>
                <w:rFonts w:ascii="Times New Roman" w:hAnsi="Times New Roman" w:cs="Times New Roman" w:eastAsia="Times New Roman"/>
              </w:rPr>
              <m:t>*</m:t>
            </m:r>
          </m:sup>
        </m:sSubSup>
        <m:r>
          <m:rPr>
            <m:sty m:val="p"/>
          </m:rPr>
          <w:rPr>
            <w:rFonts w:ascii="Times New Roman" w:hAnsi="Times New Roman" w:cs="Times New Roman" w:eastAsia="Times New Roman"/>
          </w:rPr>
          <m:t>=</m:t>
        </m:r>
        <m:r>
          <m:rPr>
            <m:sty m:val="i"/>
          </m:rPr>
          <w:rPr>
            <w:rFonts w:ascii="Times New Roman" w:hAnsi="Times New Roman" w:cs="Times New Roman" w:eastAsia="Times New Roman"/>
          </w:rPr>
          <m:t>\arg</m:t>
        </m:r>
        <m:sSub>
          <m:e>
            <m:r>
              <m:rPr>
                <m:sty m:val="p"/>
              </m:rPr>
              <w:rPr>
                <w:rFonts w:ascii="Times New Roman" w:hAnsi="Times New Roman" w:cs="Times New Roman" w:eastAsia="Times New Roman"/>
              </w:rPr>
              <m:t>min</m:t>
            </m:r>
          </m:e>
          <m:sub>
            <m:r>
              <m:rPr>
                <m:sty m:val="i"/>
              </m:rPr>
              <w:rPr>
                <w:rFonts w:ascii="Times New Roman" w:hAnsi="Times New Roman" w:cs="Times New Roman" w:eastAsia="Times New Roman"/>
              </w:rPr>
              <m:t>D</m:t>
            </m:r>
          </m:sub>
        </m:sSub>
        <m:sSub>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D</m:t>
        </m:r>
        <m:r>
          <m:rPr>
            <m:sty m:val="p"/>
          </m:rPr>
          <w:rPr>
            <w:rFonts w:ascii="Times New Roman" w:hAnsi="Times New Roman" w:cs="Times New Roman" w:eastAsia="Times New Roman"/>
          </w:rPr>
          <m:t>)</m:t>
        </m:r>
      </m:oMath>
      <w:r>
        <w:rPr>
          <w:b w:val="0"/>
        </w:rPr>
        <w:t xml:space="preserve"> is, in general, different for each s: health regions optimize access and capacity, emergency zones optimize response time, school catchments optimize enrollment balance and travel, electoral districts optimize representation criteria. Requiring a function's plans to respect an inherited boundary set B restricts the feasible set to </w:t>
      </w:r>
      <m:oMath>
        <m:sSub>
          <m:e>
            <m:r>
              <m:rPr>
                <m:sty m:val="i"/>
              </m:rPr>
              <w:rPr>
                <w:rFonts w:ascii="Times New Roman" w:hAnsi="Times New Roman" w:cs="Times New Roman" w:eastAsia="Times New Roman"/>
              </w:rPr>
              <m:t>F</m:t>
            </m:r>
          </m:e>
          <m:sub>
            <m:r>
              <m:rPr>
                <m:sty m:val="i"/>
              </m:rPr>
              <w:rPr>
                <w:rFonts w:ascii="Times New Roman" w:hAnsi="Times New Roman" w:cs="Times New Roman" w:eastAsia="Times New Roman"/>
              </w:rPr>
              <m:t>B</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F</m:t>
            </m:r>
          </m:e>
          <m:sub>
            <m:r>
              <m:rPr>
                <m:sty m:val="p"/>
              </m:rPr>
              <w:rPr>
                <w:rFonts w:ascii="Times New Roman" w:hAnsi="Times New Roman" w:cs="Times New Roman" w:eastAsia="Times New Roman"/>
              </w:rPr>
              <m:t>0</m:t>
            </m:r>
          </m:sub>
        </m:sSub>
      </m:oMath>
      <w:r>
        <w:rPr>
          <w:b w:val="0"/>
        </w:rPr>
        <w:t xml:space="preserve">, and the opportunity cost of that restriction is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s</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Sup>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up>
            <m:r>
              <m:rPr>
                <m:sty m:val="p"/>
              </m:rPr>
              <w:rPr>
                <w:rFonts w:ascii="Times New Roman" w:hAnsi="Times New Roman" w:cs="Times New Roman" w:eastAsia="Times New Roman"/>
              </w:rPr>
              <m:t>*</m:t>
            </m:r>
          </m:sup>
        </m:sSubSup>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Sup>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s</m:t>
            </m:r>
          </m:sub>
          <m:sup>
            <m:r>
              <m:rPr>
                <m:sty m:val="p"/>
              </m:rPr>
              <w:rPr>
                <w:rFonts w:ascii="Times New Roman" w:hAnsi="Times New Roman" w:cs="Times New Roman" w:eastAsia="Times New Roman"/>
              </w:rPr>
              <m:t>*</m:t>
            </m:r>
          </m:sup>
        </m:sSubSup>
        <m:r>
          <m:rPr>
            <m:sty m:val="p"/>
          </m:rPr>
          <w:rPr>
            <w:rFonts w:ascii="Times New Roman" w:hAnsi="Times New Roman" w:cs="Times New Roman" w:eastAsia="Times New Roman"/>
          </w:rPr>
          <m:t>(</m:t>
        </m:r>
        <m:r>
          <m:rPr>
            <m:sty m:val="p"/>
          </m:rPr>
          <w:rPr>
            <w:rFonts w:ascii="Times New Roman" w:hAnsi="Times New Roman" w:cs="Times New Roman" w:eastAsia="Times New Roman"/>
          </w:rPr>
          <m:t>0</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0</m:t>
        </m:r>
      </m:oMath>
      <w:r>
        <w:rPr>
          <w:b w:val="0"/>
        </w:rPr>
        <w:t xml:space="preserve">, the increase in the best achievable objective. A common-boundary requirement across functions is the special case in which every </w:t>
      </w:r>
      <m:oMath>
        <m:sSub>
          <m:e>
            <m:r>
              <m:rPr>
                <m:sty m:val="i"/>
              </m:rPr>
              <w:rPr>
                <w:rFonts w:ascii="Times New Roman" w:hAnsi="Times New Roman" w:cs="Times New Roman" w:eastAsia="Times New Roman"/>
              </w:rPr>
              <m:t>F</m:t>
            </m:r>
          </m:e>
          <m:sub>
            <m:r>
              <m:rPr>
                <m:sty m:val="i"/>
              </m:rPr>
              <w:rPr>
                <w:rFonts w:ascii="Times New Roman" w:hAnsi="Times New Roman" w:cs="Times New Roman" w:eastAsia="Times New Roman"/>
              </w:rPr>
              <m:t>B</m:t>
            </m:r>
          </m:sub>
        </m:sSub>
      </m:oMath>
      <w:r>
        <w:rPr>
          <w:b w:val="0"/>
        </w:rPr>
        <w:t xml:space="preserve"> is cut by the same B.</w:t>
      </w:r>
    </w:p>
    <w:p>
      <w:r>
        <w:rPr>
          <w:b w:val="0"/>
        </w:rPr>
        <w:t xml:space="preserve">This definition makes three distinctions that discipline everything below. The </w:t>
      </w:r>
      <w:r>
        <w:rPr>
          <w:b w:val="0"/>
          <w:i/>
        </w:rPr>
        <w:t>true</w:t>
      </w:r>
      <w:r>
        <w:rPr>
          <w:b w:val="0"/>
        </w:rPr>
        <w:t xml:space="preserve"> cost </w:t>
      </w:r>
      <m:oMath>
        <m:r>
          <m:rPr>
            <m:sty m:val="i"/>
          </m:rPr>
          <w:rPr>
            <w:rFonts w:ascii="Times New Roman" w:hAnsi="Times New Roman" w:cs="Times New Roman" w:eastAsia="Times New Roman"/>
          </w:rPr>
          <m:t>C</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oMath>
      <w:r>
        <w:rPr>
          <w:b w:val="0"/>
        </w:rPr>
        <w:t xml:space="preserve"> is defined on true minima and is usually not directly observed; what a solver reports is an incumbent, so empirical work bounds </w:t>
      </w:r>
      <m:oMath>
        <m:r>
          <m:rPr>
            <m:sty m:val="i"/>
          </m:rPr>
          <w:rPr>
            <w:rFonts w:ascii="Times New Roman" w:hAnsi="Times New Roman" w:cs="Times New Roman" w:eastAsia="Times New Roman"/>
          </w:rPr>
          <m:t>C</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oMath>
      <w:r>
        <w:rPr>
          <w:b w:val="0"/>
        </w:rPr>
        <w:t xml:space="preserve"> rather than identifies it. Second, a negative or zero </w:t>
      </w:r>
      <w:r>
        <w:rPr>
          <w:b w:val="0"/>
          <w:i/>
        </w:rPr>
        <w:t>measured</w:t>
      </w:r>
      <w:r>
        <w:rPr>
          <w:b w:val="0"/>
        </w:rPr>
        <w:t xml:space="preserve"> difference between constrained and unconstrained incumbents is a search artifact, not evidence that the constraint is free — we enforce the accounting that separates the two. Third, infeasibility of the constrained problem under a stated tolerance is a statement about the search that was run, not a proof that no feasible plan exists.</w:t>
      </w:r>
    </w:p>
    <w:p>
      <w:r>
        <w:rPr>
          <w:b w:val="0"/>
        </w:rPr>
        <w:t xml:space="preserve">The decision problem this frames is a comparison: the benefits of territorial alignment — administrative simplicity, cross-function coordination, shared data and infrastructure, accountability, legibility to the public, reduced transaction costs — versus its opportunity cost </w:t>
      </w:r>
      <m:oMath>
        <m:r>
          <m:rPr>
            <m:sty m:val="i"/>
          </m:rPr>
          <w:rPr>
            <w:rFonts w:ascii="Times New Roman" w:hAnsi="Times New Roman" w:cs="Times New Roman" w:eastAsia="Times New Roman"/>
          </w:rPr>
          <m:t>C</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oMath>
      <w:r>
        <w:rPr>
          <w:b w:val="0"/>
        </w:rPr>
        <w:t xml:space="preserve">. We estimate one </w:t>
      </w:r>
      <m:oMath>
        <m:r>
          <m:rPr>
            <m:sty m:val="i"/>
          </m:rPr>
          <w:rPr>
            <w:rFonts w:ascii="Times New Roman" w:hAnsi="Times New Roman" w:cs="Times New Roman" w:eastAsia="Times New Roman"/>
          </w:rPr>
          <m:t>C</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oMath>
      <w:r>
        <w:rPr>
          <w:b w:val="0"/>
        </w:rPr>
        <w:t xml:space="preserve"> for one function. The generalization is methodological: congruence should be evaluated, not presumed. We do not claim the single application proves that public services in general should use different boundaries.</w:t>
      </w:r>
    </w:p>
    <w:p>
      <w:pPr>
        <w:pStyle w:val="Heading1"/>
      </w:pPr>
      <w:r>
        <w:t>3. Study area, data, and methods</w:t>
      </w:r>
    </w:p>
    <w:p>
      <w:pPr>
        <w:pStyle w:val="Heading2"/>
      </w:pPr>
      <w:r>
        <w:t>3.1 Study area</w:t>
      </w:r>
    </w:p>
    <w:p>
      <w:r>
        <w:rPr>
          <w:b w:val="0"/>
        </w:rPr>
        <w:t>The combined Kyoto-fu/Shiga-ken region contains 55 municipal units (36 in Kyoto including Kyoto City's 11 wards; 19 in Shiga) partitioned into 11,978 census small areas (totals may differ after merging 420 multi-part fragments of the same small area). The 2020 census population is 3,991,697 — Shiga 1,413,610, Kyoto 2,578,087 [11]. Statutory representation allocates 6 single-member districts to Kyoto and 3 to Shiga (K = 9; Figure 1) [8].</w:t>
      </w:r>
    </w:p>
    <w:p>
      <w:pPr>
        <w:pStyle w:val="Heading2"/>
      </w:pPr>
      <w:r>
        <w:t>3.2 Data and provenance</w:t>
      </w:r>
    </w:p>
    <w:p>
      <w:r>
        <w:rPr>
          <w:b w:val="0"/>
        </w:rPr>
        <w:t>All inputs are official public sources, archived locally with SHA-256 manifests (Table 1): (i) e-Stat statistical GIS small-area boundaries (r2ka, JGD2011) with 2020 census population and household counts [13]; (ii) 2020 Census Table 6-1 municipality×municipality commuting/schooling origin–destination (OD) matrices, at ward resolution for Kyoto City [11]; (iii) IPSS 2023 municipal population projections to 2050 [14]; (iv) the statutory district definition from the Public Offices Election Act (e-Gov law API) and the Ministry of Internal Affairs district map [8]. Adjacency is Queen-contiguity on small-area geometry; disconnected island/peninsula components and detached fragments of one census unit are handled by recorded bridging rules (docs/METHODS_DECISIONS.md). Because the two prefectures' r2ka boundaries do not coincide exactly, shared-boundary lengths are measured with a 30 m tolerance, and municipality-level edge weights aggregate small-area weights.</w:t>
      </w:r>
    </w:p>
    <w:p>
      <w:pPr>
        <w:pStyle w:val="Heading2"/>
      </w:pPr>
      <w:r>
        <w:t>3.3 Optimization models</w:t>
      </w:r>
    </w:p>
    <w:p>
      <w:r>
        <w:rPr>
          <w:b w:val="0"/>
        </w:rPr>
        <w:t xml:space="preserve">Units are assigned to K = 9 districts. Hard constraints: population per district within </w:t>
      </w:r>
      <m:oMath>
        <m:r>
          <m:rPr>
            <m:sty m:val="i"/>
          </m:rPr>
          <w:rPr>
            <w:rFonts w:ascii="Times New Roman" w:hAnsi="Times New Roman" w:cs="Times New Roman" w:eastAsia="Times New Roman"/>
          </w:rPr>
          <m:t>±</m:t>
        </m:r>
        <m:r>
          <m:rPr>
            <m:sty m:val="i"/>
          </m:rPr>
          <w:rPr>
            <w:rFonts w:ascii="Times New Roman" w:hAnsi="Times New Roman" w:cs="Times New Roman" w:eastAsia="Times New Roman"/>
          </w:rPr>
          <m:t>τ</m:t>
        </m:r>
      </m:oMath>
      <w:r>
        <w:rPr>
          <w:b w:val="0"/>
        </w:rPr>
        <w:t xml:space="preserve"> of the district mean (</w:t>
      </w:r>
      <m:oMath>
        <m:r>
          <m:rPr>
            <m:sty m:val="i"/>
          </m:rPr>
          <w:rPr>
            <w:rFonts w:ascii="Times New Roman" w:hAnsi="Times New Roman" w:cs="Times New Roman" w:eastAsia="Times New Roman"/>
          </w:rPr>
          <m:t>τ</m:t>
        </m:r>
      </m:oMath>
      <w:r>
        <w:rPr>
          <w:b w:val="0"/>
        </w:rPr>
        <w:t xml:space="preserve"> = 20%; sensitivity 10/15/30%), contiguity of every district, and — in Boundary-ON runs only — no district may contain both Kyoto (25) and Shiga (26) units. Objectives are a declared weighted sum of population deviation, boundary cut length (compactness), municipal splits (Level B only), severed OD flow, and — for M4 — projected deviation; full weights and seeds are in config/config.yaml.</w:t>
      </w:r>
    </w:p>
    <w:p>
      <w:r>
        <w:rPr>
          <w:b w:val="0"/>
        </w:rPr>
        <w:t xml:space="preserve">- </w:t>
      </w:r>
      <w:r>
        <w:rPr>
          <w:b/>
        </w:rPr>
        <w:t>M0</w:t>
      </w:r>
      <w:r>
        <w:rPr>
          <w:b w:val="0"/>
        </w:rPr>
        <w:t xml:space="preserve"> evaluates the current statutory map.</w:t>
      </w:r>
    </w:p>
    <w:p>
      <w:r>
        <w:rPr>
          <w:b w:val="0"/>
        </w:rPr>
        <w:t xml:space="preserve">- </w:t>
      </w:r>
      <w:r>
        <w:rPr>
          <w:b/>
        </w:rPr>
        <w:t>M1</w:t>
      </w:r>
      <w:r>
        <w:rPr>
          <w:b w:val="0"/>
        </w:rPr>
        <w:t xml:space="preserve"> minimizes population deviation + contiguity only.</w:t>
      </w:r>
    </w:p>
    <w:p>
      <w:r>
        <w:rPr>
          <w:b w:val="0"/>
        </w:rPr>
        <w:t xml:space="preserve">- </w:t>
      </w:r>
      <w:r>
        <w:rPr>
          <w:b/>
        </w:rPr>
        <w:t>M2</w:t>
      </w:r>
      <w:r>
        <w:rPr>
          <w:b w:val="0"/>
        </w:rPr>
        <w:t xml:space="preserve"> (Boundary ON) is the full objective under the prefectural constraint.</w:t>
      </w:r>
    </w:p>
    <w:p>
      <w:r>
        <w:rPr>
          <w:b w:val="0"/>
        </w:rPr>
        <w:t xml:space="preserve">- </w:t>
      </w:r>
      <w:r>
        <w:rPr>
          <w:b/>
        </w:rPr>
        <w:t>M3</w:t>
      </w:r>
      <w:r>
        <w:rPr>
          <w:b w:val="0"/>
        </w:rPr>
        <w:t xml:space="preserve"> (Boundary OFF) is identical without the constraint.</w:t>
      </w:r>
    </w:p>
    <w:p>
      <w:r>
        <w:rPr>
          <w:b w:val="0"/>
        </w:rPr>
        <w:t xml:space="preserve">- </w:t>
      </w:r>
      <w:r>
        <w:rPr>
          <w:b/>
        </w:rPr>
        <w:t>M4</w:t>
      </w:r>
      <w:r>
        <w:rPr>
          <w:b w:val="0"/>
        </w:rPr>
        <w:t xml:space="preserve"> adds projected-population deviation (S1 proportional downscaling; S2 </w:t>
      </w:r>
      <m:oMath>
        <m:r>
          <m:rPr>
            <m:sty m:val="i"/>
          </m:rPr>
          <w:rPr>
            <w:rFonts w:ascii="Times New Roman" w:hAnsi="Times New Roman" w:cs="Times New Roman" w:eastAsia="Times New Roman"/>
          </w:rPr>
          <m:t>±</m:t>
        </m:r>
        <m:r>
          <m:rPr>
            <m:sty m:val="p"/>
          </m:rPr>
          <w:rPr>
            <w:rFonts w:ascii="Times New Roman" w:hAnsi="Times New Roman" w:cs="Times New Roman" w:eastAsia="Times New Roman"/>
          </w:rPr>
          <m:t>10</m:t>
        </m:r>
        <m:r>
          <m:rPr>
            <m:sty m:val="i"/>
          </m:rPr>
          <w:rPr>
            <w:rFonts w:ascii="Times New Roman" w:hAnsi="Times New Roman" w:cs="Times New Roman" w:eastAsia="Times New Roman"/>
          </w:rPr>
          <m:t>%</m:t>
        </m:r>
      </m:oMath>
      <w:r>
        <w:rPr>
          <w:b w:val="0"/>
        </w:rPr>
        <w:t xml:space="preserve"> centroid-drift sensitivity).</w:t>
      </w:r>
    </w:p>
    <w:p>
      <w:r>
        <w:rPr>
          <w:b w:val="0"/>
        </w:rPr>
        <w:t xml:space="preserve">- </w:t>
      </w:r>
      <w:r>
        <w:rPr>
          <w:b/>
        </w:rPr>
        <w:t>M5</w:t>
      </w:r>
      <w:r>
        <w:rPr>
          <w:b w:val="0"/>
        </w:rPr>
        <w:t xml:space="preserve"> minimizes reassigned population from the current map subject to feasibility — the minimal-intervention benchmark.</w:t>
      </w:r>
    </w:p>
    <w:p>
      <w:r>
        <w:rPr>
          <w:b w:val="0"/>
        </w:rPr>
        <w:t>Level A is formulated exactly as a mixed-integer program and solved by CP-SAT (OR-Tools) [15] to the reported solver status and bounds on 55 municipal/ward units with rooted single-commodity-flow contiguity, 300–600 s limits, solution hints from M1, and recorded optimality gaps — we report bounds and never claim global optimality when the gap is open. Level B runs seeded simulated annealing with donor-connectivity checks and an incremental municipal-share closed form for severed flow on 11,978 small-area units, warm-started from the Level A solution. The same metrics module evaluates every assignment at both levels.</w:t>
      </w:r>
    </w:p>
    <w:p>
      <w:r>
        <w:rPr>
          <w:b w:val="0"/>
        </w:rPr>
        <w:t xml:space="preserve">The core estimand is the Section 2 cost specialized to electoral districting,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r</m:t>
            </m:r>
            <m:r>
              <m:rPr>
                <m:sty m:val="i"/>
              </m:rPr>
              <w:rPr>
                <w:rFonts w:ascii="Times New Roman" w:hAnsi="Times New Roman" w:cs="Times New Roman" w:eastAsia="Times New Roman"/>
              </w:rPr>
              <m:t>d</m:t>
            </m:r>
            <m:r>
              <m:rPr>
                <m:sty m:val="i"/>
              </m:rPr>
              <w:rPr>
                <w:rFonts w:ascii="Times New Roman" w:hAnsi="Times New Roman" w:cs="Times New Roman" w:eastAsia="Times New Roman"/>
              </w:rPr>
              <m:t>e</m:t>
            </m:r>
            <m:r>
              <m:rPr>
                <m:sty m:val="i"/>
              </m:rPr>
              <w:rPr>
                <w:rFonts w:ascii="Times New Roman" w:hAnsi="Times New Roman" w:cs="Times New Roman" w:eastAsia="Times New Roman"/>
              </w:rPr>
              <m:t>r</m:t>
            </m:r>
          </m:sub>
        </m:sSub>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r>
          <m:rPr>
            <m:sty m:val="p"/>
          </m:rPr>
          <w:rPr>
            <w:rFonts w:ascii="Times New Roman" w:hAnsi="Times New Roman" w:cs="Times New Roman" w:eastAsia="Times New Roman"/>
          </w:rPr>
          <m:t>)</m:t>
        </m:r>
      </m:oMath>
      <w:r>
        <w:rPr>
          <w:b w:val="0"/>
        </w:rPr>
        <w:t xml:space="preserve">, the difference in achieved objective under otherwise identical settings, computed within level, </w:t>
      </w:r>
      <m:oMath>
        <m:r>
          <m:rPr>
            <m:sty m:val="i"/>
          </m:rPr>
          <w:rPr>
            <w:rFonts w:ascii="Times New Roman" w:hAnsi="Times New Roman" w:cs="Times New Roman" w:eastAsia="Times New Roman"/>
          </w:rPr>
          <m:t>τ</m:t>
        </m:r>
      </m:oMath>
      <w:r>
        <w:rPr>
          <w:b w:val="0"/>
        </w:rPr>
        <w:t>, and seed. Where the solver proves only bounds, we report bounds; where it produces best-found incumbents, we report best-found differences and label them as such.</w:t>
      </w:r>
    </w:p>
    <w:p>
      <w:pPr>
        <w:pStyle w:val="Heading2"/>
      </w:pPr>
      <w:r>
        <w:t>3.4 Placebo borders</w:t>
      </w:r>
    </w:p>
    <w:p>
      <w:r>
        <w:rPr>
          <w:b w:val="0"/>
        </w:rPr>
        <w:t>Two hundred internal placebo borders partition the municipality-level adjacency graph via random spanning-tree cuts, matched to the real border on two-sided population share (</w:t>
      </w:r>
      <m:oMath>
        <m:r>
          <m:rPr>
            <m:sty m:val="i"/>
          </m:rPr>
          <w:rPr>
            <w:rFonts w:ascii="Times New Roman" w:hAnsi="Times New Roman" w:cs="Times New Roman" w:eastAsia="Times New Roman"/>
          </w:rPr>
          <m:t>±</m:t>
        </m:r>
        <m:r>
          <m:rPr>
            <m:sty m:val="p"/>
          </m:rPr>
          <w:rPr>
            <w:rFonts w:ascii="Times New Roman" w:hAnsi="Times New Roman" w:cs="Times New Roman" w:eastAsia="Times New Roman"/>
          </w:rPr>
          <m:t>10</m:t>
        </m:r>
        <m:r>
          <m:rPr>
            <m:sty m:val="i"/>
          </m:rPr>
          <w:rPr>
            <w:rFonts w:ascii="Times New Roman" w:hAnsi="Times New Roman" w:cs="Times New Roman" w:eastAsia="Times New Roman"/>
          </w:rPr>
          <m:t>%</m:t>
        </m:r>
      </m:oMath>
      <w:r>
        <w:rPr>
          <w:b w:val="0"/>
        </w:rPr>
        <w:t>), interface boundary length (</w:t>
      </w:r>
      <m:oMath>
        <m:r>
          <m:rPr>
            <m:sty m:val="i"/>
          </m:rPr>
          <w:rPr>
            <w:rFonts w:ascii="Times New Roman" w:hAnsi="Times New Roman" w:cs="Times New Roman" w:eastAsia="Times New Roman"/>
          </w:rPr>
          <m:t>±</m:t>
        </m:r>
        <m:r>
          <m:rPr>
            <m:sty m:val="p"/>
          </m:rPr>
          <w:rPr>
            <w:rFonts w:ascii="Times New Roman" w:hAnsi="Times New Roman" w:cs="Times New Roman" w:eastAsia="Times New Roman"/>
          </w:rPr>
          <m:t>50</m:t>
        </m:r>
        <m:r>
          <m:rPr>
            <m:sty m:val="i"/>
          </m:rPr>
          <w:rPr>
            <w:rFonts w:ascii="Times New Roman" w:hAnsi="Times New Roman" w:cs="Times New Roman" w:eastAsia="Times New Roman"/>
          </w:rPr>
          <m:t>%</m:t>
        </m:r>
      </m:oMath>
      <w:r>
        <w:rPr>
          <w:b w:val="0"/>
        </w:rPr>
        <w:t xml:space="preserve">), and two-sided contiguity. Each border is re-optimized ON and OFF at Level A (60 s limits); the distribution of placebo costs benchmarks whether the real border's cost is generic. Placebo runs that return no feasible incumbent within budget are </w:t>
      </w:r>
      <w:r>
        <w:rPr>
          <w:b w:val="0"/>
          <w:i/>
        </w:rPr>
        <w:t>no-incumbent-found</w:t>
      </w:r>
      <w:r>
        <w:rPr>
          <w:b w:val="0"/>
        </w:rPr>
        <w:t xml:space="preserve"> outcomes — evidence of severe feasibility or search difficulty, not proven mathematical infeasibility.</w:t>
      </w:r>
    </w:p>
    <w:p>
      <w:pPr>
        <w:pStyle w:val="Heading1"/>
      </w:pPr>
      <w:r>
        <w:t>4. Results</w:t>
      </w:r>
    </w:p>
    <w:p>
      <w:pPr>
        <w:pStyle w:val="Heading2"/>
      </w:pPr>
      <w:r>
        <w:t>4.1 Constraint cost</w:t>
      </w:r>
    </w:p>
    <w:p>
      <w:r>
        <w:rPr>
          <w:b w:val="0"/>
        </w:rPr>
        <w:t xml:space="preserve">At Level A, CP-SAT returns FEASIBLE (not OPTIMAL) incumbents within 300 s: M2-ON objective 1,793,321 (best bound 883,334) against M3-OFF incumbent 1,870,325; the statutory baseline M0 that anchors all comparisons is shown in Figure 2 (its reconstructed metrics appear in Table 2). The raw incumbent difference (-77,004) has the wrong sign for a nested minimization problem — every ON-feasible map is OFF-feasible, so </w:t>
      </w:r>
      <m:oMath>
        <m:sSubSup>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O</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sub>
          <m:sup>
            <m:r>
              <m:rPr>
                <m:sty m:val="p"/>
              </m:rPr>
              <w:rPr>
                <w:rFonts w:ascii="Times New Roman" w:hAnsi="Times New Roman" w:cs="Times New Roman" w:eastAsia="Times New Roman"/>
              </w:rPr>
              <m:t>*</m:t>
            </m:r>
          </m:sup>
        </m:sSubSup>
        <m:r>
          <m:rPr>
            <m:sty m:val="p"/>
          </m:rPr>
          <w:rPr>
            <w:rFonts w:ascii="Times New Roman" w:hAnsi="Times New Roman" w:cs="Times New Roman" w:eastAsia="Times New Roman"/>
          </w:rPr>
          <m:t>≤</m:t>
        </m:r>
        <m:sSubSup>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O</m:t>
            </m:r>
            <m:r>
              <m:rPr>
                <m:sty m:val="i"/>
              </m:rPr>
              <w:rPr>
                <w:rFonts w:ascii="Times New Roman" w:hAnsi="Times New Roman" w:cs="Times New Roman" w:eastAsia="Times New Roman"/>
              </w:rPr>
              <m:t>N</m:t>
            </m:r>
          </m:sub>
          <m:sup>
            <m:r>
              <m:rPr>
                <m:sty m:val="p"/>
              </m:rPr>
              <w:rPr>
                <w:rFonts w:ascii="Times New Roman" w:hAnsi="Times New Roman" w:cs="Times New Roman" w:eastAsia="Times New Roman"/>
              </w:rPr>
              <m:t>*</m:t>
            </m:r>
          </m:sup>
        </m:sSubSup>
      </m:oMath>
      <w:r>
        <w:rPr>
          <w:b w:val="0"/>
        </w:rPr>
        <w:t xml:space="preserve"> — which identifies it as a search artifact, not a cost. Because the validated ON assignment is itself an OFF-feasible solution of identical objective (invariant check I8), the OFF optimum is bounded above by the ON incumbent; the defensible interval for the true cost is therefore </w:t>
      </w:r>
      <w:r>
        <w:rPr>
          <w:b/>
        </w:rPr>
        <w:t>[0, 532,293] objective units</w:t>
      </w:r>
      <w:r>
        <w:rPr>
          <w:b w:val="0"/>
        </w:rPr>
        <w:t xml:space="preserve"> — at most 0.297 of the incumbent objective scale — and its lower end is consistent with zero. A longer hinted OFF solve (900 s, warm-started from the ON incumbent) still returned no incumbent, so tighter identification is not claimed. Model-level comparisons are summarized in Table 3.</w:t>
      </w:r>
    </w:p>
    <w:p>
      <w:r>
        <w:rPr>
          <w:b w:val="0"/>
        </w:rPr>
        <w:t xml:space="preserve">At Level B the corrected accounting is sharper: recorded annealing bests referred to pre-repair intermediate solutions; evaluated on the </w:t>
      </w:r>
      <w:r>
        <w:rPr>
          <w:b w:val="0"/>
          <w:i/>
        </w:rPr>
        <w:t>final contiguous assignments</w:t>
      </w:r>
      <w:r>
        <w:rPr>
          <w:b w:val="0"/>
        </w:rPr>
        <w:t xml:space="preserve">, the ON best-found map scores 0.625 and the OFF run warm-started from that map retains exactly the same best (0.625): </w:t>
      </w:r>
      <w:r>
        <w:rPr>
          <w:b/>
        </w:rPr>
        <w:t>a best-found ON–OFF difference of 0</w:t>
      </w:r>
      <w:r>
        <w:rPr>
          <w:b w:val="0"/>
        </w:rPr>
        <w:t xml:space="preserve"> — removing the border constraint produces no improvement in the best-found small-area solution. The substantive explanation is visible in the maps (Figure 3) and in the flow network (Figure 4): the real border crosses only 39,733 commuting/schooling trips, below </w:t>
      </w:r>
      <w:r>
        <w:rPr>
          <w:b w:val="0"/>
          <w:i/>
        </w:rPr>
        <w:t>every</w:t>
      </w:r>
      <w:r>
        <w:rPr>
          <w:b w:val="0"/>
        </w:rPr>
        <w:t xml:space="preserve"> one of the 200 matched placebo borders (median 99,420, IQR 90322 – 103038; real border at the 0th percentile). The administrative boundary broadly aligns with the Lake Biwa watershed, a geographic pattern consistent with the relatively weak functional connectivity observed across it: the observed cross-border flow indicates an unusually weak functional interface relative to the matched placebo borders. Compactness (mean PP 0.033 ON vs 0.033 OFF), municipal splits (1 vs 1), and severed intra-region flow (243,923 vs 243,923 trips) differ only marginally (Figure 5).</w:t>
      </w:r>
    </w:p>
    <w:p>
      <w:pPr>
        <w:pStyle w:val="Heading2"/>
      </w:pPr>
      <w:r>
        <w:t>4.2 The current map</w:t>
      </w:r>
    </w:p>
    <w:p>
      <w:r>
        <w:rPr>
          <w:b w:val="0"/>
        </w:rPr>
        <w:t xml:space="preserve">The statutory map (Figure 2) is contiguous but, reconstructed on 2020 census small-area populations, carries </w:t>
      </w:r>
      <m:oMath>
        <m:r>
          <m:rPr>
            <m:sty m:val="p"/>
          </m:rPr>
          <w:rPr>
            <w:rFonts w:ascii="Times New Roman" w:hAnsi="Times New Roman" w:cs="Times New Roman" w:eastAsia="Times New Roman"/>
          </w:rPr>
          <m:t>max</m:t>
        </m:r>
        <m:r>
          <m:rPr>
            <m:sty m:val="p"/>
          </m:rPr>
          <w:rPr>
            <w:rFonts w:ascii="Times New Roman" w:hAnsi="Times New Roman" w:cs="Times New Roman" w:eastAsia="Times New Roman"/>
          </w:rPr>
          <m:t>|</m:t>
        </m:r>
        <m:r>
          <m:rPr>
            <m:sty m:val="i"/>
          </m:rPr>
          <w:rPr>
            <w:rFonts w:ascii="Times New Roman" w:hAnsi="Times New Roman" w:cs="Times New Roman" w:eastAsia="Times New Roman"/>
          </w:rPr>
          <m:t>d</m:t>
        </m:r>
        <m:r>
          <m:rPr>
            <m:sty m:val="i"/>
          </m:rPr>
          <w:rPr>
            <w:rFonts w:ascii="Times New Roman" w:hAnsi="Times New Roman" w:cs="Times New Roman" w:eastAsia="Times New Roman"/>
          </w:rPr>
          <m:t>e</m:t>
        </m:r>
        <m:r>
          <m:rPr>
            <m:sty m:val="i"/>
          </m:rPr>
          <w:rPr>
            <w:rFonts w:ascii="Times New Roman" w:hAnsi="Times New Roman" w:cs="Times New Roman" w:eastAsia="Times New Roman"/>
          </w:rPr>
          <m:t>v</m:t>
        </m:r>
        <m:r>
          <m:rPr>
            <m:sty m:val="p"/>
          </m:rPr>
          <w:rPr>
            <w:rFonts w:ascii="Times New Roman" w:hAnsi="Times New Roman" w:cs="Times New Roman" w:eastAsia="Times New Roman"/>
          </w:rPr>
          <m:t>|</m:t>
        </m:r>
      </m:oMath>
      <w:r>
        <w:rPr>
          <w:b w:val="0"/>
        </w:rPr>
        <w:t xml:space="preserve"> = 0.371 and </w:t>
      </w:r>
      <m:oMath>
        <m:r>
          <m:rPr>
            <m:sty m:val="p"/>
          </m:rPr>
          <w:rPr>
            <w:rFonts w:ascii="Times New Roman" w:hAnsi="Times New Roman" w:cs="Times New Roman" w:eastAsia="Times New Roman"/>
          </w:rPr>
          <m:t>max</m:t>
        </m:r>
        <m:r>
          <m:rPr>
            <m:sty m:val="p"/>
          </m:rPr>
          <w:rPr>
            <w:rFonts w:ascii="Times New Roman" w:hAnsi="Times New Roman" w:cs="Times New Roman" w:eastAsia="Times New Roman"/>
          </w:rPr>
          <m:t>/</m:t>
        </m:r>
        <m:r>
          <m:rPr>
            <m:sty m:val="p"/>
          </m:rPr>
          <w:rPr>
            <w:rFonts w:ascii="Times New Roman" w:hAnsi="Times New Roman" w:cs="Times New Roman" w:eastAsia="Times New Roman"/>
          </w:rPr>
          <m:t>min</m:t>
        </m:r>
      </m:oMath>
      <w:r>
        <w:rPr>
          <w:b w:val="0"/>
        </w:rPr>
        <w:t xml:space="preserve"> ratio 1.974 — Kyoto-5 (279k) is at 0.63 of the district mean (Table 2). This exceeds the experimental </w:t>
      </w:r>
      <m:oMath>
        <m:r>
          <m:rPr>
            <m:sty m:val="i"/>
          </m:rPr>
          <w:rPr>
            <w:rFonts w:ascii="Times New Roman" w:hAnsi="Times New Roman" w:cs="Times New Roman" w:eastAsia="Times New Roman"/>
          </w:rPr>
          <m:t>±</m:t>
        </m:r>
        <m:r>
          <m:rPr>
            <m:sty m:val="p"/>
          </m:rPr>
          <w:rPr>
            <w:rFonts w:ascii="Times New Roman" w:hAnsi="Times New Roman" w:cs="Times New Roman" w:eastAsia="Times New Roman"/>
          </w:rPr>
          <m:t>20</m:t>
        </m:r>
        <m:r>
          <m:rPr>
            <m:sty m:val="i"/>
          </m:rPr>
          <w:rPr>
            <w:rFonts w:ascii="Times New Roman" w:hAnsi="Times New Roman" w:cs="Times New Roman" w:eastAsia="Times New Roman"/>
          </w:rPr>
          <m:t>%</m:t>
        </m:r>
      </m:oMath>
      <w:r>
        <w:rPr>
          <w:b w:val="0"/>
        </w:rPr>
        <w:t xml:space="preserve"> tolerance used throughout this study (real statutory </w:t>
      </w:r>
      <m:oMath>
        <m:r>
          <m:rPr>
            <m:sty m:val="p"/>
          </m:rPr>
          <w:rPr>
            <w:rFonts w:ascii="Times New Roman" w:hAnsi="Times New Roman" w:cs="Times New Roman" w:eastAsia="Times New Roman"/>
          </w:rPr>
          <m:t>max</m:t>
        </m:r>
        <m:r>
          <m:rPr>
            <m:sty m:val="p"/>
          </m:rPr>
          <w:rPr>
            <w:rFonts w:ascii="Times New Roman" w:hAnsi="Times New Roman" w:cs="Times New Roman" w:eastAsia="Times New Roman"/>
          </w:rPr>
          <m:t>/</m:t>
        </m:r>
        <m:r>
          <m:rPr>
            <m:sty m:val="p"/>
          </m:rPr>
          <w:rPr>
            <w:rFonts w:ascii="Times New Roman" w:hAnsi="Times New Roman" w:cs="Times New Roman" w:eastAsia="Times New Roman"/>
          </w:rPr>
          <m:t>min</m:t>
        </m:r>
      </m:oMath>
      <w:r>
        <w:rPr>
          <w:b w:val="0"/>
        </w:rPr>
        <w:t xml:space="preserve"> ≈ 2.0; ours 1.974 at Level A). Note this is a reconstruction property, not a legal judgment: the statutory map was drawn on the apportionment population basis and vintage in force at its delimitation, which differs from the 2020 census counts used here.</w:t>
      </w:r>
    </w:p>
    <w:p>
      <w:pPr>
        <w:pStyle w:val="Heading2"/>
      </w:pPr>
      <w:r>
        <w:t>4.3 Sensitivity and scale</w:t>
      </w:r>
    </w:p>
    <w:p>
      <w:r>
        <w:rPr>
          <w:b w:val="0"/>
        </w:rPr>
        <w:t xml:space="preserve">The </w:t>
      </w:r>
      <m:oMath>
        <m:r>
          <m:rPr>
            <m:sty m:val="i"/>
          </m:rPr>
          <w:rPr>
            <w:rFonts w:ascii="Times New Roman" w:hAnsi="Times New Roman" w:cs="Times New Roman" w:eastAsia="Times New Roman"/>
          </w:rPr>
          <m:t>τ</m:t>
        </m:r>
      </m:oMath>
      <w:r>
        <w:rPr>
          <w:b w:val="0"/>
        </w:rPr>
        <w:t xml:space="preserve"> sweep (Table 4), seed replicates, and the Level A↔B scale comparison bound MAUP effects on the estimand; severed-flow results are robust to OD symmetrization/normalization choices (supplement).</w:t>
      </w:r>
    </w:p>
    <w:p>
      <w:pPr>
        <w:pStyle w:val="Heading2"/>
      </w:pPr>
      <w:r>
        <w:t>4.4 Placebo benchmark</w:t>
      </w:r>
    </w:p>
    <w:p>
      <w:r>
        <w:rPr>
          <w:b w:val="0"/>
        </w:rPr>
        <w:t xml:space="preserve">Across 200 matched placebo borders, 61% (78 feasible of 200) yielded no feasible constrained map under the shared </w:t>
      </w:r>
      <m:oMath>
        <m:r>
          <m:rPr>
            <m:sty m:val="i"/>
          </m:rPr>
          <w:rPr>
            <w:rFonts w:ascii="Times New Roman" w:hAnsi="Times New Roman" w:cs="Times New Roman" w:eastAsia="Times New Roman"/>
          </w:rPr>
          <m:t>±</m:t>
        </m:r>
        <m:r>
          <m:rPr>
            <m:sty m:val="p"/>
          </m:rPr>
          <w:rPr>
            <w:rFonts w:ascii="Times New Roman" w:hAnsi="Times New Roman" w:cs="Times New Roman" w:eastAsia="Times New Roman"/>
          </w:rPr>
          <m:t>20</m:t>
        </m:r>
        <m:r>
          <m:rPr>
            <m:sty m:val="i"/>
          </m:rPr>
          <w:rPr>
            <w:rFonts w:ascii="Times New Roman" w:hAnsi="Times New Roman" w:cs="Times New Roman" w:eastAsia="Times New Roman"/>
          </w:rPr>
          <m:t>%</m:t>
        </m:r>
      </m:oMath>
      <w:r>
        <w:rPr>
          <w:b w:val="0"/>
        </w:rPr>
        <w:t xml:space="preserve"> population tolerance — these are </w:t>
      </w:r>
      <w:r>
        <w:rPr>
          <w:b w:val="0"/>
          <w:i/>
        </w:rPr>
        <w:t>no-incumbent-found</w:t>
      </w:r>
      <w:r>
        <w:rPr>
          <w:b w:val="0"/>
        </w:rPr>
        <w:t xml:space="preserve"> outcomes, not proven infeasibility; diagnostic reruns at up to 10× the iteration budget on a 12-border sample recovered none — persistent non-recovery under extended search, consistent with severe feasibility/search difficulty rather than a time-limit artifact, but not a proof of mathematical infeasibility (Table 5). Among the feasible borders the median constraint cost is 0.065 (IQR 0.0222 – 0.0727; the lower tail extends slightly below zero, again an incumbent-time artifact on a nested minimization, not a negative cost), and the real border — priced by the identical heuristic solver — sits at the 10th percentile (Figure 6). The real border is therefore not merely inexpensive: it is in the cheapest decile of feasible alternatives </w:t>
      </w:r>
      <w:r>
        <w:rPr>
          <w:b w:val="0"/>
          <w:i/>
        </w:rPr>
        <w:t>and</w:t>
      </w:r>
      <w:r>
        <w:rPr>
          <w:b w:val="0"/>
        </w:rPr>
        <w:t xml:space="preserve"> among the minority of lines that permit any feasible map.</w:t>
      </w:r>
    </w:p>
    <w:p>
      <w:pPr>
        <w:pStyle w:val="Heading2"/>
      </w:pPr>
      <w:r>
        <w:t>4.5 Future robustness and minimal intervention</w:t>
      </w:r>
    </w:p>
    <w:p>
      <w:r>
        <w:rPr>
          <w:b w:val="0"/>
        </w:rPr>
        <w:t xml:space="preserve">Under IPSS S1 projections the ON best-found map's max deviation reaches 0.267 by 2050 and first breaches </w:t>
      </w:r>
      <m:oMath>
        <m:r>
          <m:rPr>
            <m:sty m:val="i"/>
          </m:rPr>
          <w:rPr>
            <w:rFonts w:ascii="Times New Roman" w:hAnsi="Times New Roman" w:cs="Times New Roman" w:eastAsia="Times New Roman"/>
          </w:rPr>
          <m:t>τ</m:t>
        </m:r>
      </m:oMath>
      <w:r>
        <w:rPr>
          <w:b w:val="0"/>
        </w:rPr>
        <w:t xml:space="preserve"> in 2,040; the OFF map breaches in 2,040. M4 explicitly robust maps and the M5 minimum-intervention repair (118,576 people, 0.030 of the region, 176 small areas) are tabulated in Table 6 (Figure 7).</w:t>
      </w:r>
    </w:p>
    <w:p>
      <w:pPr>
        <w:pStyle w:val="Heading1"/>
      </w:pPr>
      <w:r>
        <w:t>5. Discussion</w:t>
      </w:r>
    </w:p>
    <w:p>
      <w:r>
        <w:rPr>
          <w:b/>
        </w:rPr>
        <w:t>The empirical finding.</w:t>
      </w:r>
      <w:r>
        <w:rPr>
          <w:b w:val="0"/>
        </w:rPr>
        <w:t xml:space="preserve"> The prefectural border turns out to be cheap — and that is itself the finding, with an honest precision caveat. At municipality scale the true cost is only bounded: the interval [0, 532,293] objective units is wide relative to incumbent scale because the OFF optimum resisted identification even at 900 s of hinted search, and we do not claim tighter. At census small-area scale the constrained and unconstrained best-found maps coincide exactly. The flow metrics are consistent with the low measured cost: the real border crosses only 39,733 daily trips — fewer than all 200 matched placebo borders — and the border's broad alignment with the Lake Biwa watershed is consistent with this relatively weak functional connectivity, so the functional-geography cuts a border-respecting optimizer must make are almost the same ones an unconstrained optimizer chooses anyway. The placebo benchmark sharpens this: most matched alternative borders either admit no feasible constrained incumbent or are more expensive, so the actual line is unusually well-placed, not merely unobtrusive. The Ōtsu–Kyoto corridor is the exception the rule proves: it is the one place the border bisects a commuting field, and it is small enough to be accommodated.</w:t>
      </w:r>
    </w:p>
    <w:p>
      <w:r>
        <w:rPr>
          <w:b/>
        </w:rPr>
        <w:t>The implication for mismatch-driven reform.</w:t>
      </w:r>
      <w:r>
        <w:rPr>
          <w:b w:val="0"/>
        </w:rPr>
        <w:t xml:space="preserve"> The result is informative precisely because it is counterintuitive. The Kyoto–Shiga line is, by any visual or functional criterion, a conspicuous administrative–functional mismatch: it bisects a continuous urban fabric carrying 79,466 daily cross-prefecture trips. If visible mismatch implied large marginal efficiency loss, removing the constraint should yield large gains; it yielded a bounded gain at municipality scale and no gain at small-area scale. Mismatch is an observation; inefficiency is an estimand. A redrawn or harmonized boundary is a reform whose benefits must be demonstrated, and the demonstrated benefit of lifting </w:t>
      </w:r>
      <w:r>
        <w:rPr>
          <w:b w:val="0"/>
          <w:i/>
        </w:rPr>
        <w:t>this</w:t>
      </w:r>
      <w:r>
        <w:rPr>
          <w:b w:val="0"/>
        </w:rPr>
        <w:t xml:space="preserve"> constraint is, at the resolution where we can sharpen it, zero.</w:t>
      </w:r>
    </w:p>
    <w:p>
      <w:r>
        <w:rPr>
          <w:b/>
        </w:rPr>
        <w:t>The general planning principle.</w:t>
      </w:r>
      <w:r>
        <w:rPr>
          <w:b w:val="0"/>
        </w:rPr>
        <w:t xml:space="preserve"> Different public functions optimize different objectives under different demand, capacity, accessibility, equity, and network constraints; their efficient territorial partitions need not coincide, and forcing them to coincide restricts every function's feasible set. Territorial congruence should therefore be treated as a design decision rather than a default objective. When administrative and fiscal resources are limited, preserving non-congruent service territories may be rational when the estimated gains from harmonization are smaller than the coordination, transition, or opportunity costs required to achieve it. We are explicit that this study does not estimate those broader coordination or transition costs — it supplies one side of the calculus by pricing a spatial constraint. Nor do we claim that territorial mismatch is efficient, that fragmentation improves efficiency, or that alignment wastes resources; the claim is narrower and methodological: overlapping public geographies should not be harmonized merely because they differ, and the case for alignment depends on whether its benefits exceed the measurable opportunity cost of the constraint it imposes.</w:t>
      </w:r>
    </w:p>
    <w:p>
      <w:r>
        <w:rPr>
          <w:b/>
        </w:rPr>
        <w:t>Transferability.</w:t>
      </w:r>
      <w:r>
        <w:rPr>
          <w:b w:val="0"/>
        </w:rPr>
        <w:t xml:space="preserve"> The same paired estimand applies wherever a public-sector territorial plan is required to respect an inherited or shared boundary: health-service regions, emergency-response coverage, school catchments, transport and utility service territories, and multi-jurisdiction infrastructure planning. These are examples of the general decision problem — future applications of the measurement framework — not findings of this study, whose empirical content is exclusively electoral.</w:t>
      </w:r>
    </w:p>
    <w:p>
      <w:pPr>
        <w:pStyle w:val="Heading1"/>
      </w:pPr>
      <w:r>
        <w:t>6. Limitations</w:t>
      </w:r>
    </w:p>
    <w:p>
      <w:r>
        <w:rPr>
          <w:b w:val="0"/>
        </w:rPr>
        <w:t xml:space="preserve">Several qualifications bound the claims. The study prices one territorial public function — electoral districting — in one two-prefecture Japanese case; it does not empirically compare multiple service systems and does not estimate the coordination benefits or transition costs of multi-service alignment. Commuting/schooling flow is one functional dimension of connectivity, not all of it. The composite objective uses declared weights; other weightings would re-price the constraint. At Level A the true optimum is not tightly identified (the OFF solve returned no incumbent even at 900 s), so the municipality-scale cost is an interval, not a point estimate; Level B is heuristic simulated annealing with no optimality bound, so its zero is a best-found difference, not a proven optimum. Placebo no-incumbent outcomes are not proven mathematical infeasibility. Municipal-share severed-flow is a closed-form approximation at Level B. Future-population robustness relies on proportional downscaling of official projections with a </w:t>
      </w:r>
      <m:oMath>
        <m:r>
          <m:rPr>
            <m:sty m:val="i"/>
          </m:rPr>
          <w:rPr>
            <w:rFonts w:ascii="Times New Roman" w:hAnsi="Times New Roman" w:cs="Times New Roman" w:eastAsia="Times New Roman"/>
          </w:rPr>
          <m:t>±</m:t>
        </m:r>
        <m:r>
          <m:rPr>
            <m:sty m:val="p"/>
          </m:rPr>
          <w:rPr>
            <w:rFonts w:ascii="Times New Roman" w:hAnsi="Times New Roman" w:cs="Times New Roman" w:eastAsia="Times New Roman"/>
          </w:rPr>
          <m:t>10</m:t>
        </m:r>
        <m:r>
          <m:rPr>
            <m:sty m:val="i"/>
          </m:rPr>
          <w:rPr>
            <w:rFonts w:ascii="Times New Roman" w:hAnsi="Times New Roman" w:cs="Times New Roman" w:eastAsia="Times New Roman"/>
          </w:rPr>
          <m:t>%</m:t>
        </m:r>
      </m:oMath>
      <w:r>
        <w:rPr>
          <w:b w:val="0"/>
        </w:rPr>
        <w:t xml:space="preserve"> centroid-drift sensitivity, not a behavioral model. Placebo matching is statistical, not parametric identification. Finally, all analyses are nonpartisan by design — no electoral outcome is modeled — and the </w:t>
      </w:r>
      <m:oMath>
        <m:r>
          <m:rPr>
            <m:sty m:val="i"/>
          </m:rPr>
          <w:rPr>
            <w:rFonts w:ascii="Times New Roman" w:hAnsi="Times New Roman" w:cs="Times New Roman" w:eastAsia="Times New Roman"/>
          </w:rPr>
          <m:t>±</m:t>
        </m:r>
        <m:r>
          <m:rPr>
            <m:sty m:val="p"/>
          </m:rPr>
          <w:rPr>
            <w:rFonts w:ascii="Times New Roman" w:hAnsi="Times New Roman" w:cs="Times New Roman" w:eastAsia="Times New Roman"/>
          </w:rPr>
          <m:t>20</m:t>
        </m:r>
        <m:r>
          <m:rPr>
            <m:sty m:val="i"/>
          </m:rPr>
          <w:rPr>
            <w:rFonts w:ascii="Times New Roman" w:hAnsi="Times New Roman" w:cs="Times New Roman" w:eastAsia="Times New Roman"/>
          </w:rPr>
          <m:t>%</m:t>
        </m:r>
      </m:oMath>
      <w:r>
        <w:rPr>
          <w:b w:val="0"/>
        </w:rPr>
        <w:t xml:space="preserve"> tolerance is an experimental design parameter, not a legal judgment about the statutory map.</w:t>
      </w:r>
    </w:p>
    <w:p>
      <w:pPr>
        <w:pStyle w:val="Heading1"/>
      </w:pPr>
      <w:r>
        <w:t>7. Conclusion</w:t>
      </w:r>
    </w:p>
    <w:p>
      <w:r>
        <w:rPr>
          <w:b w:val="0"/>
        </w:rPr>
        <w:t xml:space="preserve">Territorial alignment can be priced. By treating an inherited administrative boundary as a constraint whose opportunity cost is measurable —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r</m:t>
            </m:r>
            <m:r>
              <m:rPr>
                <m:sty m:val="i"/>
              </m:rPr>
              <w:rPr>
                <w:rFonts w:ascii="Times New Roman" w:hAnsi="Times New Roman" w:cs="Times New Roman" w:eastAsia="Times New Roman"/>
              </w:rPr>
              <m:t>d</m:t>
            </m:r>
            <m:r>
              <m:rPr>
                <m:sty m:val="i"/>
              </m:rPr>
              <w:rPr>
                <w:rFonts w:ascii="Times New Roman" w:hAnsi="Times New Roman" w:cs="Times New Roman" w:eastAsia="Times New Roman"/>
              </w:rPr>
              <m:t>e</m:t>
            </m:r>
            <m:r>
              <m:rPr>
                <m:sty m:val="i"/>
              </m:rPr>
              <w:rPr>
                <w:rFonts w:ascii="Times New Roman" w:hAnsi="Times New Roman" w:cs="Times New Roman" w:eastAsia="Times New Roman"/>
              </w:rPr>
              <m:t>r</m:t>
            </m:r>
          </m:sub>
        </m:sSub>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L</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m:t>
        </m:r>
        <m:r>
          <m:rPr>
            <m:sty m:val="i"/>
          </m:rPr>
          <w:rPr>
            <w:rFonts w:ascii="Times New Roman" w:hAnsi="Times New Roman" w:cs="Times New Roman" w:eastAsia="Times New Roman"/>
          </w:rPr>
          <m:t>B</m:t>
        </m:r>
        <m:r>
          <m:rPr>
            <m:sty m:val="i"/>
          </m:rPr>
          <w:rPr>
            <w:rFonts w:ascii="Times New Roman" w:hAnsi="Times New Roman" w:cs="Times New Roman" w:eastAsia="Times New Roman"/>
          </w:rPr>
          <m:t>o</m:t>
        </m:r>
        <m:r>
          <m:rPr>
            <m:sty m:val="i"/>
          </m:rPr>
          <w:rPr>
            <w:rFonts w:ascii="Times New Roman" w:hAnsi="Times New Roman" w:cs="Times New Roman" w:eastAsia="Times New Roman"/>
          </w:rPr>
          <m:t>u</m:t>
        </m:r>
        <m:r>
          <m:rPr>
            <m:sty m:val="i"/>
          </m:rPr>
          <w:rPr>
            <w:rFonts w:ascii="Times New Roman" w:hAnsi="Times New Roman" w:cs="Times New Roman" w:eastAsia="Times New Roman"/>
          </w:rPr>
          <m:t>n</m:t>
        </m:r>
        <m:r>
          <m:rPr>
            <m:sty m:val="i"/>
          </m:rPr>
          <w:rPr>
            <w:rFonts w:ascii="Times New Roman" w:hAnsi="Times New Roman" w:cs="Times New Roman" w:eastAsia="Times New Roman"/>
          </w:rPr>
          <m:t>d</m:t>
        </m:r>
        <m:r>
          <m:rPr>
            <m:sty m:val="i"/>
          </m:rPr>
          <w:rPr>
            <w:rFonts w:ascii="Times New Roman" w:hAnsi="Times New Roman" w:cs="Times New Roman" w:eastAsia="Times New Roman"/>
          </w:rPr>
          <m:t>a</m:t>
        </m:r>
        <m:r>
          <m:rPr>
            <m:sty m:val="i"/>
          </m:rPr>
          <w:rPr>
            <w:rFonts w:ascii="Times New Roman" w:hAnsi="Times New Roman" w:cs="Times New Roman" w:eastAsia="Times New Roman"/>
          </w:rPr>
          <m:t>r</m:t>
        </m:r>
        <m:r>
          <m:rPr>
            <m:sty m:val="i"/>
          </m:rPr>
          <w:rPr>
            <w:rFonts w:ascii="Times New Roman" w:hAnsi="Times New Roman" w:cs="Times New Roman" w:eastAsia="Times New Roman"/>
          </w:rPr>
          <m:t>y</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O</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r>
          <m:rPr>
            <m:sty m:val="p"/>
          </m:rPr>
          <w:rPr>
            <w:rFonts w:ascii="Times New Roman" w:hAnsi="Times New Roman" w:cs="Times New Roman" w:eastAsia="Times New Roman"/>
          </w:rPr>
          <m:t>)</m:t>
        </m:r>
      </m:oMath>
      <w:r>
        <w:rPr>
          <w:b w:val="0"/>
        </w:rPr>
        <w:t xml:space="preserve"> — we quantified the cost of Japan's prefectural-districting rule for the Kyoto–Shiga case: bounded within [0, 532,293] objective units at municipality scale and zero among best-found small-area maps, against a functional benchmark in which the real border crosses less commuting flow than every one of 200 matched placebo borders and permits a feasible map where most placebo lines yield no feasible incumbent. The broader lesson is a decision principle, not a boundary prescription: visible administrative–functional mismatch need not imply large efficiency loss; inherited territorial constraints have a measurable price; alignment is not self-justifying; and under scarcity, heterogeneous public functions may rationally retain different footprints when the demonstrated benefits of congruence do not justify its opportunity cost. Alignment should be pursued where its benefits can be shown to exceed that cost — and this framework supplies the side of that comparison that planning practice usually leaves unmeasured.</w:t>
      </w:r>
    </w:p>
    <w:p>
      <w:pPr>
        <w:pStyle w:val="Heading1"/>
      </w:pPr>
      <w:r>
        <w:t>Declarations</w:t>
      </w:r>
    </w:p>
    <w:p>
      <w:r>
        <w:rPr>
          <w:b/>
        </w:rPr>
        <w:t>Ethics approval:</w:t>
      </w:r>
      <w:r>
        <w:rPr>
          <w:b w:val="0"/>
        </w:rPr>
        <w:t xml:space="preserve"> not applicable (public aggregate statistical data only). </w:t>
      </w:r>
      <w:r>
        <w:rPr>
          <w:b/>
        </w:rPr>
        <w:t>Competing interests:</w:t>
      </w:r>
      <w:r>
        <w:rPr>
          <w:b w:val="0"/>
        </w:rPr>
        <w:t xml:space="preserve"> the authors declare none. </w:t>
      </w:r>
      <w:r>
        <w:rPr>
          <w:b/>
        </w:rPr>
        <w:t>Funding:</w:t>
      </w:r>
      <w:r>
        <w:rPr>
          <w:b w:val="0"/>
        </w:rPr>
        <w:t xml:space="preserve"> none. </w:t>
      </w:r>
      <w:r>
        <w:rPr>
          <w:b/>
        </w:rPr>
        <w:t>Generative AI:</w:t>
      </w:r>
      <w:r>
        <w:rPr>
          <w:b w:val="0"/>
        </w:rPr>
        <w:t xml:space="preserve"> not used in the writing process beyond grammar-checking tools. </w:t>
      </w:r>
      <w:r>
        <w:rPr>
          <w:b/>
        </w:rPr>
        <w:t>Data and code availability:</w:t>
      </w:r>
      <w:r>
        <w:rPr>
          <w:b w:val="0"/>
        </w:rPr>
        <w:t xml:space="preserve"> all inputs are official public data archived with SHA-256 manifests; the full pipeline, outputs, and reproducibility bundle are public at github.com/bougtoir/admin-border-cost; every reported number regenerates end-to-end from run artifacts (docs/REPRODUCIBILITY.md).</w:t>
      </w:r>
    </w:p>
    <w:p>
      <w:pPr>
        <w:pStyle w:val="Heading1"/>
      </w:pPr>
      <w:r>
        <w:t>References</w:t>
      </w:r>
    </w:p>
    <w:p>
      <w:r>
        <w:rPr>
          <w:b w:val="0"/>
        </w:rPr>
        <w:t>[1] R. C. Larson, A. R. Odoni. Urban Operations Research, 2nd ed. Dynamic Ideas, Belmont, MA, 2007.</w:t>
      </w:r>
    </w:p>
    <w:p>
      <w:r>
        <w:rPr>
          <w:b w:val="0"/>
        </w:rPr>
        <w:t>[2] S. H. Owen, M. S. Daskin. Strategic facility location: a review. European Journal of Operational Research 1998;111(3):423–447. https://doi.org/10.1016/S0377-2217(98)00186-6.</w:t>
      </w:r>
    </w:p>
    <w:p>
      <w:r>
        <w:rPr>
          <w:b w:val="0"/>
        </w:rPr>
        <w:t>[3] W. K. Tam Cho, Y. Y. Liu. Toward a talismanic redistricting tool: A computational method for identifying extreme redistricting plans. Election Law Journal 2016;15(4):351–366. https://doi.org/10.1089/elj.2016.0384.</w:t>
      </w:r>
    </w:p>
    <w:p>
      <w:r>
        <w:rPr>
          <w:b w:val="0"/>
        </w:rPr>
        <w:t>[4] A. Mehrotra, E. L. Johnson, G. L. Nemhauser. An optimization-based heuristic for political districting. Management Science 1998;44(8):1100–1114. https://doi.org/10.1287/mnsc.44.8.1100.</w:t>
      </w:r>
    </w:p>
    <w:p>
      <w:r>
        <w:rPr>
          <w:b w:val="0"/>
        </w:rPr>
        <w:t>[5] F. Ricca, A. Scozzari, B. Simeone. Political districting: From classical models to recent approaches. Annals of Operations Research 2013;204:271–299. https://doi.org/10.1007/s10479-012-1267-2.</w:t>
      </w:r>
    </w:p>
    <w:p>
      <w:r>
        <w:rPr>
          <w:b w:val="0"/>
        </w:rPr>
        <w:t>[6] D. DeFord, M. Duchin, J. Solomon. Recombination: A family of Markov chains for redistricting. Harvard Data Science Review 2021;3(1). https://doi.org/10.1162/99608f92.eb30390f.</w:t>
      </w:r>
    </w:p>
    <w:p>
      <w:r>
        <w:rPr>
          <w:b w:val="0"/>
        </w:rPr>
        <w:t>[7] G. Herschlag, H. S. Kang, J. Luo, C. V. Graves, S. Bangia, R. Ravier, J. C. Mattingly. Quantifying gerrymandering in North Carolina. Statistics and Public Policy 2020;7(1):30–38. https://doi.org/10.1080/2330443X.2020.1796400.</w:t>
      </w:r>
    </w:p>
    <w:p>
      <w:r>
        <w:rPr>
          <w:b w:val="0"/>
        </w:rPr>
        <w:t>[8] Public Offices Election Act, Law No. 100 of 1950, as amended through 2022; Annex 1 (single-member districts) (Japan). e-Gov law database.</w:t>
      </w:r>
    </w:p>
    <w:p>
      <w:r>
        <w:rPr>
          <w:b w:val="0"/>
        </w:rPr>
        <w:t>[9] D. D. Polsby, R. D. Popper. The third criterion: Compactness as a procedural safeguard against partisan gerrymandering. Yale Law &amp; Policy Review 1991;9:301–353.</w:t>
      </w:r>
    </w:p>
    <w:p>
      <w:r>
        <w:rPr>
          <w:b w:val="0"/>
        </w:rPr>
        <w:t>[10] M. L. Balinski, H. P. Young. Fair Representation: Meeting the Ideal of One Man, One Vote. Yale University Press, 1982.</w:t>
      </w:r>
    </w:p>
    <w:p>
      <w:r>
        <w:rPr>
          <w:b w:val="0"/>
        </w:rPr>
        <w:t>[11] Ministry of Internal Affairs and Communications (Japan). 2020 Population Census, Table 6-1: Commuting and Schooling Origin–Destination by Municipality [Data set]. e-Stat, 2020.</w:t>
      </w:r>
    </w:p>
    <w:p>
      <w:r>
        <w:rPr>
          <w:b w:val="0"/>
        </w:rPr>
        <w:t>[12] S. Openshaw, P. J. Taylor. A million or so correlation coefficients: Three experiments on the modifiable areal unit problem. In: N. Wrigley (Ed.), Statistical Applications in the Spatial Sciences. Pion, London, 1979, pp. 127–144.</w:t>
      </w:r>
    </w:p>
    <w:p>
      <w:r>
        <w:rPr>
          <w:b w:val="0"/>
        </w:rPr>
        <w:t>[13] Ministry of Internal Affairs and Communications (Japan). Statistical GIS Boundary Data (r2ka Small Areas, JGD2011) [Data set]. e-Stat, 2020.</w:t>
      </w:r>
    </w:p>
    <w:p>
      <w:r>
        <w:rPr>
          <w:b w:val="0"/>
        </w:rPr>
        <w:t>[14] National Institute of Population and Social Security Research. Municipal Population Projections, 2020–2050 [Data set]. 2023.</w:t>
      </w:r>
    </w:p>
    <w:p>
      <w:r>
        <w:rPr>
          <w:b w:val="0"/>
        </w:rPr>
        <w:t>[15] L. Perron, V. Furnon. OR-Tools CP-SAT Solver [Computer software]. Google, 2022.</w:t>
      </w:r>
    </w:p>
    <w:p>
      <w:pPr>
        <w:pStyle w:val="Heading1"/>
      </w:pPr>
      <w:r>
        <w:t>Figures (separate files)</w:t>
      </w:r>
    </w:p>
    <w:p>
      <w:r>
        <w:rPr>
          <w:b w:val="0"/>
        </w:rPr>
        <w:t>- F1 study area; F2 current statutory districts; F3 best-found ON vs OFF maps; F4 cross-prefecture OD network; F5 metric comparison; F6 placebo cost distribution; F7 future robustness.</w:t>
      </w:r>
    </w:p>
    <w:p>
      <w:pPr>
        <w:pStyle w:val="Heading1"/>
      </w:pPr>
      <w:r>
        <w:t>Tables (separate files)</w:t>
      </w:r>
    </w:p>
    <w:p>
      <w:r>
        <w:rPr>
          <w:b w:val="0"/>
        </w:rPr>
        <w:t xml:space="preserve">- T1 data sources; T2 current-map metrics; T3 model comparison ON/OFF; T4 </w:t>
      </w:r>
      <m:oMath>
        <m:r>
          <m:rPr>
            <m:sty m:val="i"/>
          </m:rPr>
          <w:rPr>
            <w:rFonts w:ascii="Times New Roman" w:hAnsi="Times New Roman" w:cs="Times New Roman" w:eastAsia="Times New Roman"/>
          </w:rPr>
          <m:t>τ</m:t>
        </m:r>
      </m:oMath>
      <w:r>
        <w:rPr>
          <w:b w:val="0"/>
        </w:rPr>
        <w:t xml:space="preserve"> sensitivity; T5 placebo summary; T6 future robustness and minimal intervention.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