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 Socio-Economic Planning Sciences</w:t>
      </w:r>
    </w:p>
    <w:p>
      <w:r>
        <w:rPr>
          <w:b w:val="0"/>
        </w:rPr>
        <w:t>Dear Editors,</w:t>
      </w:r>
    </w:p>
    <w:p>
      <w:r>
        <w:rPr>
          <w:b w:val="0"/>
        </w:rPr>
        <w:t>We submit "Pricing territorial alignment: the opportunity cost of an inherited administrative boundary in electoral-district spatial optimization, Kyoto–Shiga, Japan" for consideration in Socio-Economic Planning Sciences.</w:t>
      </w:r>
    </w:p>
    <w:p>
      <w:r>
        <w:rPr>
          <w:b w:val="0"/>
        </w:rPr>
        <w:t>Public-sector planning commonly treats territorial mismatch as a defect to be corrected. Yet different public functions solve different allocation problems — they face different demand, capacity, accessibility, equity, and network constraints — and there is no general reason their efficient territorial footprints should coincide. This paper turns that observation into a measurable decision problem: what is the opportunity cost of forcing a public function to respect an inherited territorial boundary? Our central claim is that territorial alignment is a constraint to be priced, not a default objective to be presumed.</w:t>
      </w:r>
    </w:p>
    <w:p>
      <w:r>
        <w:rPr>
          <w:b w:val="0"/>
        </w:rPr>
        <w:t xml:space="preserve">We estimate that cost where it can be measured cleanly: electoral districting, a spatial public-sector design problem with explicit legal objectives and, in Japan, a hard statutory boundary rule — House of Representatives districts may not straddle prefectural boundaries. The Kyoto–Shiga border, which bisects a functioning commuting field, is the test bed. Using an exact CP-SAT mathematical formulation solved to the reported status and bounds (municipality scale) and seeded simulated annealing (census small-area scale) under identical objectives, we obtain a counterintuitive result: the true constraint cost is bounded to at most ~30% of the incumbent objective scale, the best-found ON–OFF difference at small-area scale is zero, and the real border crosses only 39,733 commuting/schooling trips — fewer than every one of 200 matched placebo borders (median ~99,420). Placebos also show the line is unusually benign, not generic: no feasible constrained incumbent was found for 122/200 placebo borders under the common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setup. A conspicuous visible mismatch did not imply a large marginal efficiency loss — mismatch is observable; inefficiency must be demonstrated.</w:t>
      </w:r>
    </w:p>
    <w:p>
      <w:r>
        <w:rPr>
          <w:b w:val="0"/>
        </w:rPr>
        <w:t>The resource-scarcity reading makes the finding planning-relevant rather than merely surprising: when administrative, fiscal, organizational, or planning resources are limited, geometric harmonization of overlapping service territories is not automatically efficient; alignment is justified when its demonstrated coordination and administrative benefits exceed the opportunity cost of the constraint it imposes. We are explicit that the study does not estimate those broader benefits or transition costs, and does not claim that health, school, emergency, transport, or utility territories should empirically differ — it supplies the opportunity-cost side of a comparison planning practice usually leaves unmeasured, and the paired estimand transfers directly to other territorial design problems.</w:t>
      </w:r>
    </w:p>
    <w:p>
      <w:r>
        <w:rPr>
          <w:b w:val="0"/>
        </w:rPr>
        <w:t>We believe the manuscript fits SEPS's scope — quantitative public-sector decision-making, constrained planning, multiobjective spatial allocation, opportunity-cost evaluation, and decision support under scarce resources — because its contribution is methodological as much as empirical. The study is strictly nonpartisan (no electoral outcome variables anywhere) and fully reproducible end-to-end from official Japanese open data (e-Stat statistical GIS, Census Table 6-1, IPSS projections, e-Gov statute), with a published provenance ledger, QC report, claim–evidence matrix, and code.</w:t>
      </w:r>
    </w:p>
    <w:p>
      <w:r>
        <w:rPr>
          <w:b w:val="0"/>
        </w:rPr>
        <w:t>The manuscript is original, not under consideration elsewhere, and all authors approve its submission.</w:t>
      </w:r>
    </w:p>
    <w:p>
      <w:r>
        <w:rPr>
          <w:b w:val="0"/>
        </w:rPr>
        <w:t>Corresponding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