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rPr>
          <w:b w:val="0"/>
        </w:rPr>
        <w:t>Territorial alignment is a constraint to be priced, not a default objective.</w:t>
      </w:r>
    </w:p>
    <w:p>
      <w:r>
        <w:rPr>
          <w:b w:val="0"/>
        </w:rPr>
        <w:t>Kyoto–Shiga border cost: bounded at municipality scale; best-found zero.</w:t>
      </w:r>
    </w:p>
    <w:p>
      <w:r>
        <w:rPr>
          <w:b w:val="0"/>
        </w:rPr>
        <w:t>The real border crosses less commuting flow than all 200 matched placebos.</w:t>
      </w:r>
    </w:p>
    <w:p>
      <w:r>
        <w:rPr>
          <w:b w:val="0"/>
        </w:rPr>
        <w:t>Most placebo borders admit no feasible constrained map at the same tolerance.</w:t>
      </w:r>
    </w:p>
    <w:p>
      <w:r>
        <w:rPr>
          <w:b w:val="0"/>
        </w:rPr>
        <w:t>Visible administrative–functional mismatch does not establish inefficiency.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