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Most placebo borders admit no feasible constrained map at the same tolerance.</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exact CP-SAT on municipalities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61% of placebo borders admit no feasible map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r>
        <w:rPr>
          <w:b/>
          <w:sz w:val="20"/>
        </w:rPr>
        <w:t>Figure 1. Study region: Kyoto-fu and Shiga-ken, census small areas (JGD2011).</w:t>
      </w:r>
    </w:p>
    <w:p>
      <w:r>
        <w:drawing>
          <wp:inline xmlns:a="http://schemas.openxmlformats.org/drawingml/2006/main" xmlns:pic="http://schemas.openxmlformats.org/drawingml/2006/picture">
            <wp:extent cx="5486400" cy="4772998"/>
            <wp:docPr id="1" name="Picture 1"/>
            <wp:cNvGraphicFramePr>
              <a:graphicFrameLocks noChangeAspect="1"/>
            </wp:cNvGraphicFramePr>
            <a:graphic>
              <a:graphicData uri="http://schemas.openxmlformats.org/drawingml/2006/picture">
                <pic:pic>
                  <pic:nvPicPr>
                    <pic:cNvPr id="0" name="F1_study_area.png"/>
                    <pic:cNvPicPr/>
                  </pic:nvPicPr>
                  <pic:blipFill>
                    <a:blip r:embed="rId9"/>
                    <a:stretch>
                      <a:fillRect/>
                    </a:stretch>
                  </pic:blipFill>
                  <pic:spPr>
                    <a:xfrm>
                      <a:off x="0" y="0"/>
                      <a:ext cx="5486400" cy="4772998"/>
                    </a:xfrm>
                    <a:prstGeom prst="rect"/>
                  </pic:spPr>
                </pic:pic>
              </a:graphicData>
            </a:graphic>
          </wp:inline>
        </w:drawing>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sz w:val="20"/>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source</w:t>
            </w:r>
          </w:p>
        </w:tc>
        <w:tc>
          <w:tcPr>
            <w:tcW w:type="dxa" w:w="2160"/>
          </w:tcPr>
          <w:p>
            <w:r>
              <w:t>raw path</w:t>
            </w:r>
          </w:p>
        </w:tc>
        <w:tc>
          <w:tcPr>
            <w:tcW w:type="dxa" w:w="2160"/>
          </w:tcPr>
          <w:p>
            <w: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sz w:val="20"/>
        </w:rPr>
        <w:t>Figure 2. Current statutory House-of-Representatives districts.</w:t>
      </w:r>
    </w:p>
    <w:p>
      <w:r>
        <w:drawing>
          <wp:inline xmlns:a="http://schemas.openxmlformats.org/drawingml/2006/main" xmlns:pic="http://schemas.openxmlformats.org/drawingml/2006/picture">
            <wp:extent cx="5486400" cy="4767336"/>
            <wp:docPr id="2" name="Picture 2"/>
            <wp:cNvGraphicFramePr>
              <a:graphicFrameLocks noChangeAspect="1"/>
            </wp:cNvGraphicFramePr>
            <a:graphic>
              <a:graphicData uri="http://schemas.openxmlformats.org/drawingml/2006/picture">
                <pic:pic>
                  <pic:nvPicPr>
                    <pic:cNvPr id="0" name="F2_current_map.png"/>
                    <pic:cNvPicPr/>
                  </pic:nvPicPr>
                  <pic:blipFill>
                    <a:blip r:embed="rId10"/>
                    <a:stretch>
                      <a:fillRect/>
                    </a:stretch>
                  </pic:blipFill>
                  <pic:spPr>
                    <a:xfrm>
                      <a:off x="0" y="0"/>
                      <a:ext cx="5486400" cy="4767336"/>
                    </a:xfrm>
                    <a:prstGeom prst="rect"/>
                  </pic:spPr>
                </pic:pic>
              </a:graphicData>
            </a:graphic>
          </wp:inline>
        </w:drawing>
      </w:r>
    </w:p>
    <w:p>
      <w:r>
        <w:rPr>
          <w:b/>
          <w:sz w:val="20"/>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level</w:t>
            </w:r>
          </w:p>
        </w:tc>
        <w:tc>
          <w:tcPr>
            <w:tcW w:type="dxa" w:w="1234"/>
          </w:tcPr>
          <w:p>
            <w:r>
              <w:t>map</w:t>
            </w:r>
          </w:p>
        </w:tc>
        <w:tc>
          <w:tcPr>
            <w:tcW w:type="dxa" w:w="1234"/>
          </w:tcPr>
          <w:p>
            <w:r>
              <w:t>max/min</w:t>
            </w:r>
          </w:p>
        </w:tc>
        <w:tc>
          <w:tcPr>
            <w:tcW w:type="dxa" w:w="1234"/>
          </w:tcPr>
          <w:p>
            <w:r>
              <w:t>max|dev|</w:t>
            </w:r>
          </w:p>
        </w:tc>
        <w:tc>
          <w:tcPr>
            <w:tcW w:type="dxa" w:w="1234"/>
          </w:tcPr>
          <w:p>
            <w:r>
              <w:t>PP</w:t>
            </w:r>
          </w:p>
        </w:tc>
        <w:tc>
          <w:tcPr>
            <w:tcW w:type="dxa" w:w="1234"/>
          </w:tcPr>
          <w:p>
            <w:r>
              <w:t>splits</w:t>
            </w:r>
          </w:p>
        </w:tc>
        <w:tc>
          <w:tcPr>
            <w:tcW w:type="dxa" w:w="1234"/>
          </w:tcPr>
          <w:p>
            <w: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sz w:val="20"/>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level</w:t>
            </w:r>
          </w:p>
        </w:tc>
        <w:tc>
          <w:tcPr>
            <w:tcW w:type="dxa" w:w="1080"/>
          </w:tcPr>
          <w:p>
            <w:r>
              <w:t>model</w:t>
            </w:r>
          </w:p>
        </w:tc>
        <w:tc>
          <w:tcPr>
            <w:tcW w:type="dxa" w:w="1080"/>
          </w:tcPr>
          <w:p>
            <w:r>
              <w:t>max|dev|</w:t>
            </w:r>
          </w:p>
        </w:tc>
        <w:tc>
          <w:tcPr>
            <w:tcW w:type="dxa" w:w="1080"/>
          </w:tcPr>
          <w:p>
            <w:r>
              <w:t>max/min</w:t>
            </w:r>
          </w:p>
        </w:tc>
        <w:tc>
          <w:tcPr>
            <w:tcW w:type="dxa" w:w="1080"/>
          </w:tcPr>
          <w:p>
            <w:r>
              <w:t>PP</w:t>
            </w:r>
          </w:p>
        </w:tc>
        <w:tc>
          <w:tcPr>
            <w:tcW w:type="dxa" w:w="1080"/>
          </w:tcPr>
          <w:p>
            <w:r>
              <w:t>splits</w:t>
            </w:r>
          </w:p>
        </w:tc>
        <w:tc>
          <w:tcPr>
            <w:tcW w:type="dxa" w:w="1080"/>
          </w:tcPr>
          <w:p>
            <w:r>
              <w:t>severed</w:t>
            </w:r>
          </w:p>
        </w:tc>
        <w:tc>
          <w:tcPr>
            <w:tcW w:type="dxa" w:w="1080"/>
          </w:tcPr>
          <w:p>
            <w: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M3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bl>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r>
        <w:rPr>
          <w:b/>
          <w:sz w:val="20"/>
        </w:rPr>
        <w:t>Figure 3. Best-found maps with the border constraint ON vs OFF.</w:t>
      </w:r>
    </w:p>
    <w:p>
      <w:r>
        <w:drawing>
          <wp:inline xmlns:a="http://schemas.openxmlformats.org/drawingml/2006/main" xmlns:pic="http://schemas.openxmlformats.org/drawingml/2006/picture">
            <wp:extent cx="5486400" cy="2249298"/>
            <wp:docPr id="3" name="Picture 3"/>
            <wp:cNvGraphicFramePr>
              <a:graphicFrameLocks noChangeAspect="1"/>
            </wp:cNvGraphicFramePr>
            <a:graphic>
              <a:graphicData uri="http://schemas.openxmlformats.org/drawingml/2006/picture">
                <pic:pic>
                  <pic:nvPicPr>
                    <pic:cNvPr id="0" name="F3_optimal_on_off.png"/>
                    <pic:cNvPicPr/>
                  </pic:nvPicPr>
                  <pic:blipFill>
                    <a:blip r:embed="rId11"/>
                    <a:stretch>
                      <a:fillRect/>
                    </a:stretch>
                  </pic:blipFill>
                  <pic:spPr>
                    <a:xfrm>
                      <a:off x="0" y="0"/>
                      <a:ext cx="5486400" cy="2249298"/>
                    </a:xfrm>
                    <a:prstGeom prst="rect"/>
                  </pic:spPr>
                </pic:pic>
              </a:graphicData>
            </a:graphic>
          </wp:inline>
        </w:drawing>
      </w:r>
    </w:p>
    <w:p>
      <w:r>
        <w:rPr>
          <w:b/>
          <w:sz w:val="20"/>
        </w:rPr>
        <w:t>Figure 4. Cross-prefecture commuting/schooling OD network.</w:t>
      </w:r>
    </w:p>
    <w:p>
      <w:r>
        <w:drawing>
          <wp:inline xmlns:a="http://schemas.openxmlformats.org/drawingml/2006/main" xmlns:pic="http://schemas.openxmlformats.org/drawingml/2006/picture">
            <wp:extent cx="5486400" cy="4752784"/>
            <wp:docPr id="4" name="Picture 4"/>
            <wp:cNvGraphicFramePr>
              <a:graphicFrameLocks noChangeAspect="1"/>
            </wp:cNvGraphicFramePr>
            <a:graphic>
              <a:graphicData uri="http://schemas.openxmlformats.org/drawingml/2006/picture">
                <pic:pic>
                  <pic:nvPicPr>
                    <pic:cNvPr id="0" name="F4_flow_network.png"/>
                    <pic:cNvPicPr/>
                  </pic:nvPicPr>
                  <pic:blipFill>
                    <a:blip r:embed="rId12"/>
                    <a:stretch>
                      <a:fillRect/>
                    </a:stretch>
                  </pic:blipFill>
                  <pic:spPr>
                    <a:xfrm>
                      <a:off x="0" y="0"/>
                      <a:ext cx="5486400" cy="4752784"/>
                    </a:xfrm>
                    <a:prstGeom prst="rect"/>
                  </pic:spPr>
                </pic:pic>
              </a:graphicData>
            </a:graphic>
          </wp:inline>
        </w:drawing>
      </w:r>
    </w:p>
    <w:p>
      <w:r>
        <w:rPr>
          <w:b/>
          <w:sz w:val="20"/>
        </w:rPr>
        <w:t>Figure 5. Objective-component comparison, ON vs OFF.</w:t>
      </w:r>
    </w:p>
    <w:p>
      <w:r>
        <w:drawing>
          <wp:inline xmlns:a="http://schemas.openxmlformats.org/drawingml/2006/main" xmlns:pic="http://schemas.openxmlformats.org/drawingml/2006/picture">
            <wp:extent cx="5486400" cy="1462431"/>
            <wp:docPr id="5" name="Picture 5"/>
            <wp:cNvGraphicFramePr>
              <a:graphicFrameLocks noChangeAspect="1"/>
            </wp:cNvGraphicFramePr>
            <a:graphic>
              <a:graphicData uri="http://schemas.openxmlformats.org/drawingml/2006/picture">
                <pic:pic>
                  <pic:nvPicPr>
                    <pic:cNvPr id="0" name="F5_metric_comparison.png"/>
                    <pic:cNvPicPr/>
                  </pic:nvPicPr>
                  <pic:blipFill>
                    <a:blip r:embed="rId13"/>
                    <a:stretch>
                      <a:fillRect/>
                    </a:stretch>
                  </pic:blipFill>
                  <pic:spPr>
                    <a:xfrm>
                      <a:off x="0" y="0"/>
                      <a:ext cx="5486400" cy="1462431"/>
                    </a:xfrm>
                    <a:prstGeom prst="rect"/>
                  </pic:spPr>
                </pic:pic>
              </a:graphicData>
            </a:graphic>
          </wp:inline>
        </w:drawing>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r>
        <w:rPr>
          <w:b/>
          <w:sz w:val="20"/>
        </w:rPr>
        <w:t>Table 4. tau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tau</w:t>
            </w:r>
          </w:p>
        </w:tc>
        <w:tc>
          <w:tcPr>
            <w:tcW w:type="dxa" w:w="1440"/>
          </w:tcPr>
          <w:p>
            <w:r>
              <w:t>model</w:t>
            </w:r>
          </w:p>
        </w:tc>
        <w:tc>
          <w:tcPr>
            <w:tcW w:type="dxa" w:w="1440"/>
          </w:tcPr>
          <w:p>
            <w:r>
              <w:t>max|dev|</w:t>
            </w:r>
          </w:p>
        </w:tc>
        <w:tc>
          <w:tcPr>
            <w:tcW w:type="dxa" w:w="1440"/>
          </w:tcPr>
          <w:p>
            <w:r>
              <w:t>PP</w:t>
            </w:r>
          </w:p>
        </w:tc>
        <w:tc>
          <w:tcPr>
            <w:tcW w:type="dxa" w:w="1440"/>
          </w:tcPr>
          <w:p>
            <w:r>
              <w:t>severed</w:t>
            </w:r>
          </w:p>
        </w:tc>
        <w:tc>
          <w:tcPr>
            <w:tcW w:type="dxa" w:w="1440"/>
          </w:tcPr>
          <w:p>
            <w: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2"/>
      </w:pPr>
      <w:r>
        <w:t>4.4 Placebo benchmark</w:t>
      </w:r>
    </w:p>
    <w:p>
      <w:r>
        <w:rPr>
          <w:b w:val="0"/>
        </w:rPr>
        <w:t xml:space="preserve">Across 200 matched placebo borders, 61% (122 of 200) yielded no feasible constrained map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r>
        <w:rPr>
          <w:b/>
          <w:sz w:val="20"/>
        </w:rPr>
        <w:t>Figure 6. Placebo-border cost distribution vs the real border.</w:t>
      </w:r>
    </w:p>
    <w:p>
      <w:r>
        <w:drawing>
          <wp:inline xmlns:a="http://schemas.openxmlformats.org/drawingml/2006/main" xmlns:pic="http://schemas.openxmlformats.org/drawingml/2006/picture">
            <wp:extent cx="5486400" cy="4026477"/>
            <wp:docPr id="6" name="Picture 6"/>
            <wp:cNvGraphicFramePr>
              <a:graphicFrameLocks noChangeAspect="1"/>
            </wp:cNvGraphicFramePr>
            <a:graphic>
              <a:graphicData uri="http://schemas.openxmlformats.org/drawingml/2006/picture">
                <pic:pic>
                  <pic:nvPicPr>
                    <pic:cNvPr id="0" name="F6_placebo.png"/>
                    <pic:cNvPicPr/>
                  </pic:nvPicPr>
                  <pic:blipFill>
                    <a:blip r:embed="rId14"/>
                    <a:stretch>
                      <a:fillRect/>
                    </a:stretch>
                  </pic:blipFill>
                  <pic:spPr>
                    <a:xfrm>
                      <a:off x="0" y="0"/>
                      <a:ext cx="5486400" cy="4026477"/>
                    </a:xfrm>
                    <a:prstGeom prst="rect"/>
                  </pic:spPr>
                </pic:pic>
              </a:graphicData>
            </a:graphic>
          </wp:inline>
        </w:drawing>
      </w:r>
    </w:p>
    <w:p>
      <w:r>
        <w:rPr>
          <w:b/>
          <w:sz w:val="20"/>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n</w:t>
            </w:r>
          </w:p>
        </w:tc>
        <w:tc>
          <w:tcPr>
            <w:tcW w:type="dxa" w:w="4320"/>
          </w:tcPr>
          <w:p>
            <w:r>
              <w:t>200</w:t>
            </w:r>
          </w:p>
        </w:tc>
      </w:tr>
      <w:tr>
        <w:tc>
          <w:tcPr>
            <w:tcW w:type="dxa" w:w="4320"/>
          </w:tcPr>
          <w:p>
            <w:r>
              <w:t>n generated</w:t>
            </w:r>
          </w:p>
        </w:tc>
        <w:tc>
          <w:tcPr>
            <w:tcW w:type="dxa" w:w="4320"/>
          </w:tcPr>
          <w:p>
            <w:r>
              <w:t>200</w:t>
            </w:r>
          </w:p>
        </w:tc>
      </w:tr>
      <w:tr>
        <w:tc>
          <w:tcPr>
            <w:tcW w:type="dxa" w:w="4320"/>
          </w:tcPr>
          <w:p>
            <w:r>
              <w:t>n feasible ON+OFF</w:t>
            </w:r>
          </w:p>
        </w:tc>
        <w:tc>
          <w:tcPr>
            <w:tcW w:type="dxa" w:w="4320"/>
          </w:tcPr>
          <w:p>
            <w:r>
              <w:t>78</w:t>
            </w:r>
          </w:p>
        </w:tc>
      </w:tr>
      <w:tr>
        <w:tc>
          <w:tcPr>
            <w:tcW w:type="dxa" w:w="4320"/>
          </w:tcPr>
          <w:p>
            <w:r>
              <w:t>n ON-infeasible (no incumbent found)</w:t>
            </w:r>
          </w:p>
        </w:tc>
        <w:tc>
          <w:tcPr>
            <w:tcW w:type="dxa" w:w="4320"/>
          </w:tcPr>
          <w:p>
            <w:r>
              <w:t>122</w:t>
            </w:r>
          </w:p>
        </w:tc>
      </w:tr>
      <w:tr>
        <w:tc>
          <w:tcPr>
            <w:tcW w:type="dxa" w:w="4320"/>
          </w:tcPr>
          <w:p>
            <w:r>
              <w:t>cost median (feasible)</w:t>
            </w:r>
          </w:p>
        </w:tc>
        <w:tc>
          <w:tcPr>
            <w:tcW w:type="dxa" w:w="4320"/>
          </w:tcPr>
          <w:p>
            <w:r>
              <w:t>0.0647</w:t>
            </w:r>
          </w:p>
        </w:tc>
      </w:tr>
      <w:tr>
        <w:tc>
          <w:tcPr>
            <w:tcW w:type="dxa" w:w="4320"/>
          </w:tcPr>
          <w:p>
            <w:r>
              <w:t>cost IQR (feasible)</w:t>
            </w:r>
          </w:p>
        </w:tc>
        <w:tc>
          <w:tcPr>
            <w:tcW w:type="dxa" w:w="4320"/>
          </w:tcPr>
          <w:p>
            <w:r>
              <w:t>0.0222 – 0.0727</w:t>
            </w:r>
          </w:p>
        </w:tc>
      </w:tr>
      <w:tr>
        <w:tc>
          <w:tcPr>
            <w:tcW w:type="dxa" w:w="4320"/>
          </w:tcPr>
          <w:p>
            <w:r>
              <w:t>cost p5–p95 (feasible)</w:t>
            </w:r>
          </w:p>
        </w:tc>
        <w:tc>
          <w:tcPr>
            <w:tcW w:type="dxa" w:w="4320"/>
          </w:tcPr>
          <w:p>
            <w:r>
              <w:t>-0.0041 – 0.0799</w:t>
            </w:r>
          </w:p>
        </w:tc>
      </w:tr>
    </w:tbl>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r>
        <w:rPr>
          <w:b/>
          <w:sz w:val="20"/>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sz w:val="20"/>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2025</w:t>
            </w:r>
          </w:p>
        </w:tc>
        <w:tc>
          <w:tcPr>
            <w:tcW w:type="dxa" w:w="1234"/>
          </w:tcPr>
          <w:p>
            <w:r>
              <w:t>2030</w:t>
            </w:r>
          </w:p>
        </w:tc>
        <w:tc>
          <w:tcPr>
            <w:tcW w:type="dxa" w:w="1234"/>
          </w:tcPr>
          <w:p>
            <w:r>
              <w:t>2035</w:t>
            </w:r>
          </w:p>
        </w:tc>
        <w:tc>
          <w:tcPr>
            <w:tcW w:type="dxa" w:w="1234"/>
          </w:tcPr>
          <w:p>
            <w:r>
              <w:t>2040</w:t>
            </w:r>
          </w:p>
        </w:tc>
        <w:tc>
          <w:tcPr>
            <w:tcW w:type="dxa" w:w="1234"/>
          </w:tcPr>
          <w:p>
            <w:r>
              <w:t>2045</w:t>
            </w:r>
          </w:p>
        </w:tc>
        <w:tc>
          <w:tcPr>
            <w:tcW w:type="dxa" w:w="1234"/>
          </w:tcPr>
          <w:p>
            <w: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r>
        <w:br w:type="page"/>
      </w:r>
    </w:p>
    <w:p>
      <w:pPr>
        <w:pStyle w:val="Heading1"/>
      </w:pPr>
      <w:r>
        <w:t>Remaining figures and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