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Abstract proposal — PMR SI Place-Based Strategy Design for Value Creation</w:t>
      </w:r>
    </w:p>
    <w:p>
      <w:r>
        <w:t>Abstract proposal — Public Management Review special issue "Place-Based Strategy Design for Value Creation"</w:t>
      </w:r>
    </w:p>
    <w:p>
      <w:r>
        <w:rPr>
          <w:b/>
        </w:rPr>
        <w:t>Proposed title: One administrative territory, multiple functional geographies: evaluating territorial congruence in place-based public management</w:t>
      </w:r>
    </w:p>
    <w:p>
      <w:r>
        <w:rPr>
          <w:b/>
        </w:rPr>
        <w:t>Author: Tatsuki Onishi, Shiga University, Data Science and AI Innovation Research Promotion Center (corresponding author)</w:t>
      </w:r>
    </w:p>
    <w:p>
      <w:r>
        <w:t>Research problem and relevance. Place-based strategy inherits territorial containers — prefectures, districts, catchments — that were drawn for institutional histories long past, while the functional geographies of public life routinely cross them. Inside-out strategy reasons from the container outward; outside-in strategy reasons from functions inward. What public management rarely does is price the wedge between the two: the opportunity cost of requiring a public function to remain inside an inherited administrative boundary. This paper proposes territorial congruence as a measurable strategy-design variable — a choice to be evaluated function by function, not a default to be inherited — and anchors it in a completed study of the Kyoto–Shiga prefectural boundary in Japan.</w:t>
      </w:r>
    </w:p>
    <w:p>
      <w:r>
        <w:t>Conceptual foundations. For a public function s with feasible plan set F and objective L_s, requiring plans to respect an inherited boundary set B restricts the feasible set and imposes a non-negative alignment opportunity cost C_s(B) = L_s*(B) − L_s*(0). The hypothesis this paper develops is that C_s(B) is function-specific: one administrative territory can contain multiple functional geographies, and the same boundary may be expensive for one function and nearly free for another. In public-value terms, requiring congruence where it is free buys legibility at little price; requiring it where it is expensive destroys value; and relaxing it where measured cost is low yields nothing — harmonization is not self-justifying in either direction. This speaks directly to the special issue's interest in nested public-service ecosystems, inside-out versus outside-in strategy, value creation and destruction, and robustness of place-based designs.</w:t>
      </w:r>
    </w:p>
    <w:p>
      <w:r>
        <w:t>Completed evidence (validated, one function). The anchor is a completed Kyoto–Shiga study that prices one function — electoral representation. Japan's House-of-Representatives single-member districts may not straddle prefectural boundaries, so the boundary is a hard statutory constraint inside a spatial design problem with legally grounded objectives. Kyoto and Shiga provide an extreme test: the two prefectural government offices are the closest such pair in Japan (about 10.5 km by geodesic distance, rank 1 of 1,081 pairs), the border bisects a field of 79,466 daily cross-prefecture commuting and schooling trips (2020 census), and Kyoto is the largest external destination for 18 of 19 Shiga municipalities. Solving matched optimization problems at two resolutions — 55 municipal/ward units and 11,978 census small areas — against matched unconstrained problems, the study bounds the true boundary cost at [0, 532,293] objective units at municipality scale (solver status FEASIBLE, not OPTIMAL) and finds a best-found cost of exactly zero at small-area scale. The real border crosses fewer trips (39,733) than all 200 statistically matched placebo borders, sits in the cheapest decile of feasible alternatives, and admits feasible maps where most placebo lines yield no feasible incumbent. A conspicuous administrative–functional mismatch thus carried a small measured price inside one function: visible entanglement did not imply inefficiency.</w:t>
      </w:r>
    </w:p>
    <w:p>
      <w:r>
        <w:t>Executed extension (completed). To test whether the same boundary is priced differently across functions, two additional Kyoto–Shiga analyses were pre-specified and then run exactly as frozen: healthcare access (MLIT P04-20 medical institutions, hospital and general-clinic tiers separately) and education access (MLIT P29-21 open public schools, elementary and junior-high levels separately), each a paired Boundary ON/OFF uncapacitated nearest-facility assignment on the same 11,978 census small-area demand units (2020 population 3,991,697). Results: the boundary's mean population-weighted access cost is near zero for every function — +0.0046 km (hospitals), +0.0005 km (clinics), +0.0060 km (elementary), +0.0042 km (junior-high) — with only 0.11–0.20% of the population assigned across the line when the boundary is relaxed. The measurable burden concentrates in the tail: 11 border municipalities, whose worst-decile access gap over interior areas narrows under Boundary OFF (e.g. 0.75 → 0.28 km for elementary). Magnitudes differ across functions — supporting function-specificity descriptively — but all are small: for spatially dense local services, prefectural congruence is nearly free, in contrast to its design-sensitive cost in the electoral case. Null-magnitude results are reported rather than suppressed.</w:t>
      </w:r>
    </w:p>
    <w:p>
      <w:r>
        <w:t>Expected contributions. First, a conceptual contribution: territorial congruence reframed from an inherited default into a priced, function-specific design variable, connecting place-based strategy to the estimand logic of paired optimization. Second, a methodological contribution: a portable ON/OFF protocol — constraint, matched benchmark, placebo borders, declared solver status — that makes the cost of any territorial rule measurable rather than asserted. Third, an empirical demonstration that institutional persistence and functional inefficiency are different claims: the Kyoto–Shiga boundary reproduces administrative space as institutionalist accounts predict, yet its measured price inside one function is small. For practice, the framework gives strategists a way to ask what relaxing, redrawing, or retaining a boundary would buy for each function a territory contains — before presuming either harmonization or fragmentation.</w:t>
      </w:r>
    </w:p>
    <w:p>
      <w:r>
        <w:t>Keywords: place-based strategy; territorial congruence; administrative boundaries; public-service ecosystems; public value; spatial optimization; Japan</w:t>
      </w:r>
    </w:p>
    <w:p>
      <w:r>
        <w:t>(Word count of abstract body: approximately 790 words, excluding this header and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