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Abstract proposal — PMR SI Place-Based Strategy Design for Value Creation (post-result)</w:t>
      </w:r>
    </w:p>
    <w:p>
      <w:r>
        <w:t>Abstract proposal — Public Management Review special issue "Place-Based Strategy Design for Value Creation"</w:t>
      </w:r>
    </w:p>
    <w:p>
      <w:r>
        <w:rPr>
          <w:b/>
        </w:rPr>
        <w:t>Proposed title: One administrative territory, multiple functional geographies: pricing territorial congruence in place-based public management</w:t>
      </w:r>
    </w:p>
    <w:p>
      <w:r>
        <w:rPr>
          <w:b/>
        </w:rPr>
        <w:t>Author: Tatsuki Onishi, Shiga University, Data Science and AI Innovation Research Promotion Center (corresponding author)</w:t>
      </w:r>
    </w:p>
    <w:p>
      <w:r>
        <w:t>Research problem and relevance. Place-based strategy inherits territorial containers — prefectures, districts, catchments — that were drawn for institutional histories long past, while the functional geographies of public life routinely cross them. Inside-out strategy reasons from the container outward; outside-in strategy reasons from functions inward. What public management rarely does is price the wedge between the two: the opportunity cost of requiring a public function to remain inside an inherited administrative boundary. This paper proposes territorial congruence as a measurable strategy-design variable — a choice to be evaluated function by function, and in its spatial distribution rather than its average alone — and anchors it in a completed study of the Kyoto–Shiga prefectural boundary in Japan.</w:t>
      </w:r>
    </w:p>
    <w:p>
      <w:r>
        <w:t>Conceptual foundations. For a public function s with feasible plan set F and objective L_s, requiring plans to respect an inherited boundary set B restricts the feasible set and imposes a non-negative alignment opportunity cost C_s(B) = L_s*(B) − L_s*(0). The evidence developed here suggests the informative heterogeneity may lie less in the average of C_s(B) than in its spatial distribution across functions: territorial congruence may be inexpensive in aggregate while still producing localized, function-specific losses. An inherited boundary can be cheap in the aggregate yet costly for a small set of places; public value therefore depends not only on whether a boundary exists, but on where and for which function it is allowed to become permeable. This speaks directly to the special issue's interest in nested public-service ecosystems, inside-out versus outside-in strategy, value creation and destruction, and robustness of place-based designs.</w:t>
      </w:r>
    </w:p>
    <w:p>
      <w:r>
        <w:t>Completed evidence I: electoral representation. Japan's House-of-Representatives single-member districts may not straddle prefectural boundaries, so the boundary is a hard statutory constraint inside a spatial design problem with legally grounded objectives. Kyoto and Shiga provide an unusually sharp test in terms of institutional proximity and cross-border functional entanglement: the two prefectural government offices are the closest such pair in Japan (about 10.5 km by geodesic distance, rank 1 of 1,081 pairs), the border bisects a field of 79,466 daily cross-prefecture commuting and schooling trips (2020 census), and Kyoto is the largest external destination for 18 of 19 Shiga municipalities. Solving matched optimization problems at two resolutions — 55 municipal/ward units and 11,978 census small areas — against matched unconstrained problems bounds the true boundary cost at [0, 532,293] objective units at municipality scale (solver status FEASIBLE, not OPTIMAL) and yields a best-found cost of exactly zero at small-area scale. The real border crosses fewer trips (39,733) than all 200 statistically matched placebo borders and sits in the cheapest decile of feasible alternatives: a conspicuous administrative–functional mismatch carried a small measured price inside this function.</w:t>
      </w:r>
    </w:p>
    <w:p>
      <w:r>
        <w:t>Completed evidence II: healthcare and education access. Two further analyses were pre-specified and then executed exactly as frozen on the same 11,978 census small-area demand units (2020 population 3,991,697): healthcare access, using official MLIT P04-20 medical-institution data with hospital and general-clinic tiers analysed separately, and education access, using official MLIT P29-21 open public schools with elementary and junior-high levels analysed separately. Each is a paired Boundary ON/OFF, uncapacitated, nearest-facility assignment using geodesic distance — a closed-form argmin calculation, not a service-system optimization. The mean population-weighted access opportunity cost of the boundary is small for every function: +0.0046 km (hospitals), +0.0005 km (clinics), +0.0060 km (elementary), +0.0042 km (junior-high), with only 0.11–0.20% of the population assigned across the line under Boundary OFF. The burden that does exist is spatially concentrated: in 11 border municipalities the worst-decile access gap over interior areas narrows under Boundary OFF (e.g. 0.75 km to 0.28 km for elementary schools), and the largest unit-level gains reach roughly 4.9–5.0 km. Across representation, healthcare access, and education access, the aggregate cost of the inherited boundary is small; what varies is where that cost appears and how concentrated it is. These are access-opportunity analyses: they price the boundary's wedge on nearest-supply distance and do not model catchments, capacities, referral networks, or assignment rules.</w:t>
      </w:r>
    </w:p>
    <w:p>
      <w:r>
        <w:t>Expected contributions. First, measurement: territorial congruence is shown to be priceable function by function, with declared estimands and solver status. Second, scale and distribution: a near-zero mean cost does not imply zero local burden — the same boundary that is nearly free on average generates concentrated losses at the border margin, and the shape of that tail differs by function. Third, place-based strategy: the design choice is not simply retain versus redraw. The results point toward selective permeability rather than wholesale territorial redesign — preserve the administrative container where its aggregate opportunity cost is low, while identifying specific functions and border locations where cross-boundary access yields disproportionate local gains — offered here as a design implication to evaluate, not a tested intervention. Fourth, public value: aggregate efficiency and local distributive burden are separated explicitly, so that small averages are neither read as vindication of inherited boundaries nor suppressed as null results. Place-based strategy should therefore evaluate not only whether administrative and functional territories align, but also whether the costs of misalignment are aggregate or locally concentrated.</w:t>
      </w:r>
    </w:p>
    <w:p>
      <w:r>
        <w:t>Keywords: place-based strategy; territorial congruence; administrative boundaries; selective permeability; public-service ecosystems; public value; spatial analysis; Japan</w:t>
      </w:r>
    </w:p>
    <w:p>
      <w:r>
        <w:t>(Word count of abstract body: approximately 880 words, excluding this header and references.)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