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Late-entry inquiry — PMR SI abstract proposal</w:t>
      </w:r>
    </w:p>
    <w:p>
      <w:r>
        <w:rPr>
          <w:b/>
        </w:rPr>
        <w:t>Subject: Late abstract inquiry — PMR special issue "Place-Based Strategy Design for Value Creation" (Kyoto–Shiga, Japan)</w:t>
      </w:r>
    </w:p>
    <w:p>
      <w:r>
        <w:t>Dear Professors Bianchi, Nasi, Chen, and Lotta,</w:t>
      </w:r>
    </w:p>
    <w:p>
      <w:r>
        <w:t>I am writing to ask whether a late abstract proposal can still be considered for the Public Management Review special issue "Place-Based Strategy Design for Value Creation." I regret that I missed the 31 May 2026 abstract deadline, and I apologize for the late approach.</w:t>
      </w:r>
    </w:p>
    <w:p>
      <w:r>
        <w:t>I believe the proposal fits the special issue closely. It develops territorial congruence — the alignment between an inherited administrative boundary and the functional geographies it is asked to contain — as a measurable strategy-design variable rather than a default. The empirical anchor is Kyoto–Shiga, Japan: the two closest prefectural government offices in the country (about 10.5 km apart, the closest of all 1,081 prefectural-office pairs), linked by 79,466 daily cross-prefecture commuting and schooling trips, yet institutionally divided by a hard statutory boundary.</w:t>
      </w:r>
    </w:p>
    <w:p>
      <w:r>
        <w:t>A completed study prices that same boundary for one public function, electoral representation: solving matched districting problems with and without the statutory no-straddle constraint bounds the true cost at [0, 532,293] objective units at municipality scale and zero among best-found small-area maps, while the real border crosses less commuting flow than all 200 matched placebo borders. The proposed paper uses this as a worked example for a broader claim the special issue speaks to directly: one administrative territory can contain multiple functional geographies, so the same boundary may carry different opportunity costs for different functions. Two further Kyoto–Shiga analyses — healthcare access and education access — are proposed as planned extensions and are clearly labelled as planned, not completed, in the abstract.</w:t>
      </w:r>
    </w:p>
    <w:p>
      <w:r>
        <w:t>I have attached the abstract proposal (under 1,000 words, in Word format) for your consideration. Could you let me know whether a late abstract can still be considered for the special issue?</w:t>
      </w:r>
    </w:p>
    <w:p>
      <w:r>
        <w:t>Thank you very much for your time.</w:t>
      </w:r>
    </w:p>
    <w:p>
      <w:r>
        <w:t>Sincerely,</w:t>
        <w:br/>
        <w:t>Tatsuki Onishi</w:t>
        <w:br/>
        <w:t>Shiga University, Data Science and AI Innovation Research Promotion Center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