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Beyond Aid Volume: Aid Architecture, Local Economic Participation, Capacity Formation, and Persistent Development Outcomes</w:t>
      </w:r>
    </w:p>
    <w:p>
      <w:pPr>
        <w:pStyle w:val="Heading1"/>
      </w:pPr>
      <w:r>
        <w:t>Abstract</w:t>
      </w:r>
    </w:p>
    <w:p>
      <w:r>
        <w:rPr>
          <w:b/>
        </w:rPr>
        <w:t>Background.</w:t>
      </w:r>
      <w:r>
        <w:t xml:space="preserve"> The aid-effectiveness literature has debated whether the</w:t>
      </w:r>
    </w:p>
    <w:p>
      <w:r>
        <w:rPr>
          <w:i/>
        </w:rPr>
        <w:t>volume</w:t>
      </w:r>
      <w:r>
        <w:t xml:space="preserve"> of aid affects growth and development; much less is known about</w:t>
      </w:r>
    </w:p>
    <w:p>
      <w:r>
        <w:t xml:space="preserve">whether the </w:t>
      </w:r>
      <w:r>
        <w:rPr>
          <w:i/>
        </w:rPr>
        <w:t>architecture</w:t>
      </w:r>
      <w:r>
        <w:t xml:space="preserve"> of delivery — composition by aid type, delivery</w:t>
      </w:r>
    </w:p>
    <w:p>
      <w:r>
        <w:t>channel, financial instrument, and tying status — matters when total aid is</w:t>
      </w:r>
    </w:p>
    <w:p>
      <w:r>
        <w:t xml:space="preserve">held constant. </w:t>
      </w:r>
      <w:r>
        <w:rPr>
          <w:b/>
        </w:rPr>
        <w:t>Methods.</w:t>
      </w:r>
      <w:r>
        <w:t xml:space="preserve"> We construct a disbursement-weighted</w:t>
      </w:r>
    </w:p>
    <w:p>
      <w:r>
        <w:t>aid-architecture panel from the full OECD Creditor Reporting System activity</w:t>
      </w:r>
    </w:p>
    <w:p>
      <w:r>
        <w:t>file (145,790 donor–recipient–year observations, 1995–2024)</w:t>
      </w:r>
    </w:p>
    <w:p>
      <w:r>
        <w:t>and merge it with UN World Population Prospects 2024 demography and World</w:t>
      </w:r>
    </w:p>
    <w:p>
      <w:r>
        <w:t>Development Indicators outcomes (141 recipient countries;</w:t>
      </w:r>
    </w:p>
    <w:p>
      <w:r>
        <w:t>4,169 recipient-years). We estimate two-way</w:t>
      </w:r>
    </w:p>
    <w:p>
      <w:r>
        <w:t>fixed-effects panel models of mean outcomes over lag windows of 1–2, 3–5,</w:t>
      </w:r>
    </w:p>
    <w:p>
      <w:r>
        <w:t>6–10, and 11–15 years, conditional on log ODA per capita and pre-registered</w:t>
      </w:r>
    </w:p>
    <w:p>
      <w:r>
        <w:t>demographic adjustment sets. All estimates are reported as adjusted</w:t>
      </w:r>
    </w:p>
    <w:p>
      <w:r>
        <w:t xml:space="preserve">associations (Level B), not causal effects. </w:t>
      </w:r>
      <w:r>
        <w:rPr>
          <w:b/>
        </w:rPr>
        <w:t>Findings.</w:t>
      </w:r>
      <w:r>
        <w:t xml:space="preserve"> Donor identity is a</w:t>
      </w:r>
    </w:p>
    <w:p>
      <w:r>
        <w:t>substantial driver of the architecture a recipient faces: adding donor fixed</w:t>
      </w:r>
    </w:p>
    <w:p>
      <w:r>
        <w:t>effects to a recipient-and-year baseline raises R² by roughly 13–28</w:t>
      </w:r>
    </w:p>
    <w:p>
      <w:r>
        <w:t>percentage points across major architecture shares. Holding ODA per capita</w:t>
      </w:r>
    </w:p>
    <w:p>
      <w:r>
        <w:t>constant, a higher technical-cooperation share — relative to the omitted</w:t>
      </w:r>
    </w:p>
    <w:p>
      <w:r>
        <w:t>aid-type composition (debt relief and other flows) — is associated with lower</w:t>
      </w:r>
    </w:p>
    <w:p>
      <w:r>
        <w:t>subsequent GDP per capita (β = -0.20 per unit share;</w:t>
      </w:r>
    </w:p>
    <w:p>
      <w:r>
        <w:t>a 10-percentage-point reallocation corresponds to β·0.10 ≈</w:t>
      </w:r>
    </w:p>
    <w:p>
      <w:r>
        <w:t>-0.020 log points) and with lower</w:t>
      </w:r>
    </w:p>
    <w:p>
      <w:r>
        <w:t>manufacturing value added (β = -4.34 pp per unit</w:t>
      </w:r>
    </w:p>
    <w:p>
      <w:r>
        <w:t>share). Estimates are imprecise (the headline coefficient is not significant at</w:t>
      </w:r>
    </w:p>
    <w:p>
      <w:r>
        <w:t>conventional levels); in a within-year permutation test, only</w:t>
      </w:r>
    </w:p>
    <w:p>
      <w:r>
        <w:t>2% of randomized</w:t>
      </w:r>
    </w:p>
    <w:p>
      <w:r>
        <w:t>allocations produce a coefficient as extreme as the observed one, and a</w:t>
      </w:r>
    </w:p>
    <w:p>
      <w:r>
        <w:t>future-architecture placebo is statistically compatible with zero.</w:t>
      </w:r>
    </w:p>
    <w:p>
      <w:r>
        <w:rPr>
          <w:b/>
        </w:rPr>
        <w:t>Interpretation.</w:t>
      </w:r>
      <w:r>
        <w:t xml:space="preserve"> These are conditional associations,</w:t>
      </w:r>
    </w:p>
    <w:p>
      <w:r>
        <w:t>and selection — donors deploying technical cooperation where state capacity</w:t>
      </w:r>
    </w:p>
    <w:p>
      <w:r>
        <w:t>is weakest — remains a plausible explanation. The central contribution is a</w:t>
      </w:r>
    </w:p>
    <w:p>
      <w:r>
        <w:t>measurement and decomposition exercise: architecture is a first-order,</w:t>
      </w:r>
    </w:p>
    <w:p>
      <w:r>
        <w:t>donor-driven dimension of foreign aid that volume aggregates conceal.</w:t>
      </w:r>
    </w:p>
    <w:p>
      <w:pPr>
        <w:pStyle w:val="Heading1"/>
      </w:pPr>
      <w:r>
        <w:t>1. Introduction</w:t>
      </w:r>
    </w:p>
    <w:p>
      <w:r>
        <w:t xml:space="preserve">The aid-effectiveness literature has centered on whether </w:t>
      </w:r>
      <w:r>
        <w:rPr>
          <w:i/>
        </w:rPr>
        <w:t>how much</w:t>
      </w:r>
      <w:r>
        <w:t xml:space="preserve"> aid a</w:t>
      </w:r>
    </w:p>
    <w:p>
      <w:r>
        <w:t xml:space="preserve">country receives affects growth and development </w:t>
      </w:r>
      <w:r>
        <w:rPr>
          <w:vertAlign w:val="superscript"/>
        </w:rPr>
        <w:t>1,2</w:t>
      </w:r>
      <w:r>
        <w:t>.</w:t>
      </w:r>
    </w:p>
    <w:p>
      <w:r>
        <w:t>Burnside and Dollar's policy-interaction result was shown fragile to sample</w:t>
      </w:r>
    </w:p>
    <w:p>
      <w:r>
        <w:t xml:space="preserve">and specification choices </w:t>
      </w:r>
      <w:r>
        <w:rPr>
          <w:vertAlign w:val="superscript"/>
        </w:rPr>
        <w:t>3,4</w:t>
      </w:r>
      <w:r>
        <w:t>, and meta-analytic and</w:t>
      </w:r>
    </w:p>
    <w:p>
      <w:r>
        <w:t xml:space="preserve">long-run reassessments remain contested </w:t>
      </w:r>
      <w:r>
        <w:rPr>
          <w:vertAlign w:val="superscript"/>
        </w:rPr>
        <w:t>5,6,7,8,9</w:t>
      </w:r>
      <w:r>
        <w:t>.</w:t>
      </w:r>
    </w:p>
    <w:p>
      <w:r>
        <w:t>Three adjacent literatures motivate an architectural turn rather than another</w:t>
      </w:r>
    </w:p>
    <w:p>
      <w:r>
        <w:t>aid–growth regression: (i) donor allocation studies show bilateral aid is</w:t>
      </w:r>
    </w:p>
    <w:p>
      <w:r>
        <w:t>shaped by donor motives as much as recipient need</w:t>
      </w:r>
    </w:p>
    <w:p>
      <w:r>
        <w:rPr>
          <w:vertAlign w:val="superscript"/>
        </w:rPr>
        <w:t>10,11,12,13</w:t>
      </w:r>
      <w:r>
        <w:t>; (ii) fungibility work</w:t>
      </w:r>
    </w:p>
    <w:p>
      <w:r>
        <w:t>shows the use of aid is endogenous to its form</w:t>
      </w:r>
    </w:p>
    <w:p>
      <w:r>
        <w:rPr>
          <w:vertAlign w:val="superscript"/>
        </w:rPr>
        <w:t>14,15,16,17</w:t>
      </w:r>
      <w:r>
        <w:t>; and (iii) practice-</w:t>
      </w:r>
    </w:p>
    <w:p>
      <w:r>
        <w:t>oriented assessments document large cross-donor differences in tying,</w:t>
      </w:r>
    </w:p>
    <w:p>
      <w:r>
        <w:t xml:space="preserve">channels, and modality </w:t>
      </w:r>
      <w:r>
        <w:rPr>
          <w:vertAlign w:val="superscript"/>
        </w:rPr>
        <w:t>18,19,20,21</w:t>
      </w:r>
      <w:r>
        <w:t>.</w:t>
      </w:r>
    </w:p>
    <w:p>
      <w:r>
        <w:t>Institutional channels have been linked to governance outcomes</w:t>
      </w:r>
    </w:p>
    <w:p>
      <w:r>
        <w:rPr>
          <w:vertAlign w:val="superscript"/>
        </w:rPr>
        <w:t>22,23</w:t>
      </w:r>
      <w:r>
        <w:t>, aid volatility complicates domestic planning</w:t>
      </w:r>
    </w:p>
    <w:p>
      <w:r>
        <w:rPr>
          <w:vertAlign w:val="superscript"/>
        </w:rPr>
        <w:t>24</w:t>
      </w:r>
      <w:r>
        <w:t>, and capacity formation has long been named the mechanism aid</w:t>
      </w:r>
    </w:p>
    <w:p>
      <w:r>
        <w:t xml:space="preserve">is supposed to build </w:t>
      </w:r>
      <w:r>
        <w:rPr>
          <w:vertAlign w:val="superscript"/>
        </w:rPr>
        <w:t>25,26</w:t>
      </w:r>
      <w:r>
        <w:t>. Bourguignon and Sundberg</w:t>
      </w:r>
    </w:p>
    <w:p>
      <w:r>
        <w:t>called explicitly for "opening the black box" between disbursement and</w:t>
      </w:r>
    </w:p>
    <w:p>
      <w:r>
        <w:t xml:space="preserve">outcome </w:t>
      </w:r>
      <w:r>
        <w:rPr>
          <w:vertAlign w:val="superscript"/>
        </w:rPr>
        <w:t>27</w:t>
      </w:r>
      <w:r>
        <w:t>.</w:t>
      </w:r>
    </w:p>
    <w:p>
      <w:r>
        <w:t>We do not claim the literature has ignored aid heterogeneity. The</w:t>
      </w:r>
    </w:p>
    <w:p>
      <w:r>
        <w:t>contribution is integrative: (i) a harmonized aid-architecture measurement</w:t>
      </w:r>
    </w:p>
    <w:p>
      <w:r>
        <w:t>stack built on the full CRS activity file; (ii) frozen estimands with a</w:t>
      </w:r>
    </w:p>
    <w:p>
      <w:r>
        <w:t>falsification suite; (iii) a donor-versus-recipient decomposition of the</w:t>
      </w:r>
    </w:p>
    <w:p>
      <w:r>
        <w:t>architecture recipients face; and (iv) dashboard-ready scenario exports</w:t>
      </w:r>
    </w:p>
    <w:p>
      <w:r>
        <w:t>constrained to fixed-total reallocations. The question is: when total aid</w:t>
      </w:r>
    </w:p>
    <w:p>
      <w:r>
        <w:t>exposure is held comparable, how is delivery architecture associated with</w:t>
      </w:r>
    </w:p>
    <w:p>
      <w:r>
        <w:t>medium- and long-run recipient outcomes, and how much of the observed</w:t>
      </w:r>
    </w:p>
    <w:p>
      <w:r>
        <w:t>heterogeneity in architecture is attributable to donor identity rather than</w:t>
      </w:r>
    </w:p>
    <w:p>
      <w:r>
        <w:t>to recipient characteristics?</w:t>
      </w:r>
    </w:p>
    <w:p>
      <w:pPr>
        <w:pStyle w:val="Heading1"/>
      </w:pPr>
      <w:r>
        <w:t>2. Data</w:t>
      </w:r>
    </w:p>
    <w:p>
      <w:r>
        <w:t>(Full provenance: machine-readable manifests with URLs, UTC timestamps, and</w:t>
      </w:r>
    </w:p>
    <w:p>
      <w:r>
        <w:t>SHA-256 checksums under data/metadata/; raw files preserved under data/raw/.)</w:t>
      </w:r>
    </w:p>
    <w:p>
      <w:pPr>
        <w:pStyle w:val="ListBullet"/>
      </w:pPr>
      <w:r>
        <w:t>OECD Creditor Reporting System, full activity file (6.2 million activity</w:t>
      </w:r>
    </w:p>
    <w:p>
      <w:r>
        <w:t>rows, 1973–2024); ODA rows (category 10), 1995–2024 used for analysis. CRS</w:t>
      </w:r>
    </w:p>
    <w:p>
      <w:r>
        <w:t>amounts are reported in millions of constant USD (DAC deflator base).</w:t>
      </w:r>
    </w:p>
    <w:p>
      <w:pPr>
        <w:pStyle w:val="ListBullet"/>
      </w:pPr>
      <w:r>
        <w:t>OECD DAC aggregate tables and official code lists.</w:t>
      </w:r>
    </w:p>
    <w:p>
      <w:pPr>
        <w:pStyle w:val="ListBullet"/>
      </w:pPr>
      <w:r>
        <w:t>World Bank World Development Indicators (21 indicators).</w:t>
      </w:r>
    </w:p>
    <w:p>
      <w:pPr>
        <w:pStyle w:val="ListBullet"/>
      </w:pPr>
      <w:r>
        <w:t>UN World Population Prospects 2024 (demographic indicators; population by</w:t>
      </w:r>
    </w:p>
    <w:p>
      <w:r>
        <w:t>five-year age group).</w:t>
      </w:r>
    </w:p>
    <w:p>
      <w:pPr>
        <w:pStyle w:val="ListBullet"/>
      </w:pPr>
      <w:r>
        <w:t>World Bank procurement notices (partial, recent-biased sample —</w:t>
      </w:r>
    </w:p>
    <w:p>
      <w:r>
        <w:t>exploratory only).</w:t>
      </w:r>
    </w:p>
    <w:p>
      <w:pPr>
        <w:pStyle w:val="ListBullet"/>
      </w:pPr>
      <w:r>
        <w:t>AidData 3.1 core release (robustness cross-check only; coverage ends 2013).</w:t>
      </w:r>
    </w:p>
    <w:p>
      <w:pPr>
        <w:pStyle w:val="Heading1"/>
      </w:pPr>
      <w:r>
        <w:t>3. Measurement</w:t>
      </w:r>
    </w:p>
    <w:p>
      <w:r>
        <w:t>Architecture is measured as disbursement-weighted shares of constant-USD</w:t>
      </w:r>
    </w:p>
    <w:p>
      <w:r>
        <w:t>ODA: aid-type shares (technical cooperation, budget support, project-type,</w:t>
      </w:r>
    </w:p>
    <w:p>
      <w:r>
        <w:t>pooled/earmarked, NGO core, scholarships, debt relief, administrative and</w:t>
      </w:r>
    </w:p>
    <w:p>
      <w:r>
        <w:t>in-donor refugee costs), channel shares (recipient government, donor</w:t>
      </w:r>
    </w:p>
    <w:p>
      <w:r>
        <w:t>government, third-country government, NGO, multilateral, PPP/network,</w:t>
      </w:r>
    </w:p>
    <w:p>
      <w:r>
        <w:t>private-sector), finance-type shares (grant, loan, other), and tying status</w:t>
      </w:r>
    </w:p>
    <w:p>
      <w:r>
        <w:t>where reported. Variables follow the frozen L0–L5 ontology</w:t>
      </w:r>
    </w:p>
    <w:p>
      <w:r>
        <w:t>(config/variable_ontology.yaml); no composite capacity index is constructed,</w:t>
      </w:r>
    </w:p>
    <w:p>
      <w:r>
        <w:t>and supplier country is never equated with domestic value added.</w:t>
      </w:r>
    </w:p>
    <w:p>
      <w:r>
        <w:t>One measurement caveat: the CRS aid-type variable distinguishes</w:t>
      </w:r>
    </w:p>
    <w:p>
      <w:r>
        <w:t>technical cooperation (type D) as a modality; a substantial share of</w:t>
      </w:r>
    </w:p>
    <w:p>
      <w:r>
        <w:t>technical-cooperation activity is delivered inside project-type</w:t>
      </w:r>
    </w:p>
    <w:p>
      <w:r>
        <w:t>interventions and is classified as such, so the TC share used here</w:t>
      </w:r>
    </w:p>
    <w:p>
      <w:r>
        <w:t>(disbursement-weighted mean 1.8%, unweighted mean</w:t>
      </w:r>
    </w:p>
    <w:p>
      <w:r>
        <w:t>about 2.4%) is a narrow modality measure, not the total TC intensity of a</w:t>
      </w:r>
    </w:p>
    <w:p>
      <w:r>
        <w:t>portfolio. Results for the TC-share term should be read against that</w:t>
      </w:r>
    </w:p>
    <w:p>
      <w:r>
        <w:t>definition.</w:t>
      </w:r>
    </w:p>
    <w:p>
      <w:r>
        <w:t>All share variables are compositional: within each group they sum to one.</w:t>
      </w:r>
    </w:p>
    <w:p>
      <w:r>
        <w:t>Estimated coefficients are therefore relative contrasts versus the omitted</w:t>
      </w:r>
    </w:p>
    <w:p>
      <w:r>
        <w:t>share (aid type: debt relief plus residual "other"; channel: "other";</w:t>
      </w:r>
    </w:p>
    <w:p>
      <w:r>
        <w:t>finance: residual category). A coefficient on, e.g., the technical-</w:t>
      </w:r>
    </w:p>
    <w:p>
      <w:r>
        <w:t>cooperation share should be read as: reallocating the aid-type portfolio</w:t>
      </w:r>
    </w:p>
    <w:p>
      <w:r>
        <w:t xml:space="preserve">toward technical cooperation </w:t>
      </w:r>
      <w:r>
        <w:rPr>
          <w:i/>
        </w:rPr>
        <w:t>and away from the omitted composition</w:t>
      </w:r>
      <w:r>
        <w:t>, at</w:t>
      </w:r>
    </w:p>
    <w:p>
      <w:r>
        <w:t>fixed total aid, is associated with a β-sized change in the outcome window</w:t>
      </w:r>
    </w:p>
    <w:p>
      <w:r>
        <w:t>mean.</w:t>
      </w:r>
    </w:p>
    <w:p>
      <w:pPr>
        <w:pStyle w:val="Heading1"/>
      </w:pPr>
      <w:r>
        <w:t>4. Empirical strategy</w:t>
      </w:r>
    </w:p>
    <w:p>
      <w:r>
        <w:t>Frozen estimands and adjustment sets are documented in</w:t>
      </w:r>
    </w:p>
    <w:p>
      <w:r>
        <w:t>results/audits/PHASE_10_11_IDENTIFICATION_AND_ESTIMANDS.md. The primary</w:t>
      </w:r>
    </w:p>
    <w:p>
      <w:r>
        <w:t>specification regresses the mean of outcome Y over lag window w on the</w:t>
      </w:r>
    </w:p>
    <w:p>
      <w:r>
        <w:t>year-t architecture shares, log ODA per capita at t, demographic controls,</w:t>
      </w:r>
    </w:p>
    <w:p>
      <w:r>
        <w:t>and country and year fixed effects; standard errors are clustered by</w:t>
      </w:r>
    </w:p>
    <w:p>
      <w:r>
        <w:t>country. The claim ceiling is Level B (adjusted association) throughout; no</w:t>
      </w:r>
    </w:p>
    <w:p>
      <w:r>
        <w:t>estimate is described as causal.</w:t>
      </w:r>
    </w:p>
    <w:p>
      <w:pPr>
        <w:pStyle w:val="Heading1"/>
      </w:pPr>
      <w:r>
        <w:t>5. Results</w:t>
      </w:r>
    </w:p>
    <w:p>
      <w:pPr>
        <w:pStyle w:val="Heading2"/>
      </w:pPr>
      <w:r>
        <w:t>5.1 Sample and exposure structure</w:t>
      </w:r>
    </w:p>
    <w:p>
      <w:r>
        <w:t>The analysis sample covers 4,169 recipient-years across</w:t>
      </w:r>
    </w:p>
    <w:p>
      <w:r>
        <w:t>141 countries (1995.0–2024.0). Mean</w:t>
      </w:r>
    </w:p>
    <w:p>
      <w:r>
        <w:t>ODA disbursements equal 6.8% of recipient GDP (median</w:t>
      </w:r>
    </w:p>
    <w:p>
      <w:r>
        <w:t>2.6%); median ODA is roughly</w:t>
      </w:r>
    </w:p>
    <w:p>
      <w:r>
        <w:t>$53 per capita. The disbursement-weighted</w:t>
      </w:r>
    </w:p>
    <w:p>
      <w:r>
        <w:t>technical-cooperation share averages 1.8%.</w:t>
      </w:r>
    </w:p>
    <w:p>
      <w:r>
        <w:t>Figure 1 shows the evolution of aid-type and channel shares; Figure 3 shows</w:t>
      </w:r>
    </w:p>
    <w:p>
      <w:r>
        <w:t>the ODA/GDP distribution.</w:t>
      </w:r>
    </w:p>
    <w:p>
      <w:pPr>
        <w:pStyle w:val="Heading2"/>
      </w:pPr>
      <w:r>
        <w:t>5.2 Donor-level architecture heterogeneity</w:t>
      </w:r>
    </w:p>
    <w:p>
      <w:r>
        <w:t>On the dyad panel, adding donor fixed effects to a baseline of recipient and</w:t>
      </w:r>
    </w:p>
    <w:p>
      <w:r>
        <w:t>year fixed effects raises R² from 0.401</w:t>
      </w:r>
    </w:p>
    <w:p>
      <w:r>
        <w:t>to 0.624 for the recipient-</w:t>
      </w:r>
    </w:p>
    <w:p>
      <w:r>
        <w:t>government channel share (incremental R² = 0.223);</w:t>
      </w:r>
    </w:p>
    <w:p>
      <w:r>
        <w:t>the corresponding increments are 0.249</w:t>
      </w:r>
    </w:p>
    <w:p>
      <w:r>
        <w:t>for technical cooperation, 0.268 for budget</w:t>
      </w:r>
    </w:p>
    <w:p>
      <w:r>
        <w:t>support, and 0.131 for project-type shares. Donor</w:t>
      </w:r>
    </w:p>
    <w:p>
      <w:r>
        <w:t>identity thus contributes a substantial share of explained architecture</w:t>
      </w:r>
    </w:p>
    <w:p>
      <w:r>
        <w:t>variance; for project-type shares, however, the recipient dimension</w:t>
      </w:r>
    </w:p>
    <w:p>
      <w:r>
        <w:t>contributes comparably (incremental recipient R² =</w:t>
      </w:r>
    </w:p>
    <w:p>
      <w:r>
        <w:t>0.225), so architecture heterogeneity is not</w:t>
      </w:r>
    </w:p>
    <w:p>
      <w:r>
        <w:t>unilaterally donor-determined. Figure 2 displays top-donor architecture</w:t>
      </w:r>
    </w:p>
    <w:p>
      <w:r>
        <w:t>profiles descriptively (no quality ranking is implied).</w:t>
      </w:r>
    </w:p>
    <w:p>
      <w:pPr>
        <w:pStyle w:val="Heading2"/>
      </w:pPr>
      <w:r>
        <w:t>5.3 Main adjusted associations</w:t>
      </w:r>
    </w:p>
    <w:p>
      <w:r>
        <w:t>Table model_coefficients_all.csv reports all 320 coefficients by window and</w:t>
      </w:r>
    </w:p>
    <w:p>
      <w:r>
        <w:t>adjustment set. For the technical-cooperation share (3–5-year window,</w:t>
      </w:r>
    </w:p>
    <w:p>
      <w:r>
        <w:t>adjustment set B): β = -0.203 (SE 0.177,</w:t>
      </w:r>
    </w:p>
    <w:p>
      <w:r>
        <w:t>n = 3538) for log GDP per capita, and β = -4.345 pp</w:t>
      </w:r>
    </w:p>
    <w:p>
      <w:r>
        <w:t>(SE 2.840, n = 3215) for manufacturing value added per GDP.</w:t>
      </w:r>
    </w:p>
    <w:p>
      <w:r>
        <w:t>Interpreted compositionally: shifting 10 percentage points of the aid-type</w:t>
      </w:r>
    </w:p>
    <w:p>
      <w:r>
        <w:t>portfolio from the omitted composition (debt relief and other flows) to</w:t>
      </w:r>
    </w:p>
    <w:p>
      <w:r>
        <w:t>technical cooperation is associated with a 0.020-log-point</w:t>
      </w:r>
    </w:p>
    <w:p>
      <w:r>
        <w:t>lower mean GDP per capita and 0.434 pp lower manufacturing</w:t>
      </w:r>
    </w:p>
    <w:p>
      <w:r>
        <w:t>share over the subsequent 3–5 years — conditional associations, not effects</w:t>
      </w:r>
    </w:p>
    <w:p>
      <w:r>
        <w:t>of technical cooperation in isolation. GFCF/GDP coefficients are imprecise</w:t>
      </w:r>
    </w:p>
    <w:p>
      <w:r>
        <w:t>(see falsification_results and adjustment_stability tables).</w:t>
      </w:r>
    </w:p>
    <w:p>
      <w:pPr>
        <w:pStyle w:val="Heading2"/>
      </w:pPr>
      <w:r>
        <w:t>5.4 Lag structure</w:t>
      </w:r>
    </w:p>
    <w:p>
      <w:r>
        <w:t>Figure 4 reports TC-share coefficients by lag window in chronological order.</w:t>
      </w:r>
    </w:p>
    <w:p>
      <w:r>
        <w:t>Point estimates are negative across windows for GDP per capita and</w:t>
      </w:r>
    </w:p>
    <w:p>
      <w:r>
        <w:t>manufacturing share and do not display a monotonic attenuation pattern.</w:t>
      </w:r>
    </w:p>
    <w:p>
      <w:pPr>
        <w:pStyle w:val="Heading2"/>
      </w:pPr>
      <w:r>
        <w:t>5.5 Adjustment-set sensitivity</w:t>
      </w:r>
    </w:p>
    <w:p>
      <w:r>
        <w:t>Moving from adjustment set A to C (adding age structure, fertility, median</w:t>
      </w:r>
    </w:p>
    <w:p>
      <w:r>
        <w:t>age, FDI/GDP, exports/GDP), the TC coefficient on GDP per capita moves from</w:t>
      </w:r>
    </w:p>
    <w:p>
      <w:r>
        <w:t>-0.134 to</w:t>
      </w:r>
    </w:p>
    <w:p>
      <w:r>
        <w:t>-0.369 —</w:t>
      </w:r>
    </w:p>
    <w:p>
      <w:r>
        <w:t>directionally stable, larger under aggressive controls — while the</w:t>
      </w:r>
    </w:p>
    <w:p>
      <w:r>
        <w:t>manufacturing coefficient stays in a narrow negative range</w:t>
      </w:r>
    </w:p>
    <w:p>
      <w:r>
        <w:t>(-5.379 to</w:t>
      </w:r>
    </w:p>
    <w:p>
      <w:r>
        <w:t>-3.861).</w:t>
      </w:r>
    </w:p>
    <w:p>
      <w:pPr>
        <w:pStyle w:val="Heading2"/>
      </w:pPr>
      <w:r>
        <w:t>5.6 Falsification</w:t>
      </w:r>
    </w:p>
    <w:p>
      <w:r>
        <w:t xml:space="preserve">Three pre-registered tests: (i) a </w:t>
      </w:r>
      <w:r>
        <w:rPr>
          <w:i/>
        </w:rPr>
        <w:t>lead placebo</w:t>
      </w:r>
      <w:r>
        <w:t xml:space="preserve"> — architecture measured</w:t>
      </w:r>
    </w:p>
    <w:p>
      <w:r>
        <w:t xml:space="preserve">three years </w:t>
      </w:r>
      <w:r>
        <w:rPr>
          <w:i/>
        </w:rPr>
        <w:t>after</w:t>
      </w:r>
      <w:r>
        <w:t xml:space="preserve"> the outcome window shows β = -0.230</w:t>
      </w:r>
    </w:p>
    <w:p>
      <w:r>
        <w:t>(p = 0.166), statistically compatible with zero; (ii) a</w:t>
      </w:r>
    </w:p>
    <w:p>
      <w:r>
        <w:rPr>
          <w:i/>
        </w:rPr>
        <w:t>pseudo-outcome</w:t>
      </w:r>
      <w:r>
        <w:t xml:space="preserve"> — urban-population share, which architecture should not</w:t>
      </w:r>
    </w:p>
    <w:p>
      <w:r>
        <w:t xml:space="preserve">move — yields no significant aid-type term; (iii) a </w:t>
      </w:r>
      <w:r>
        <w:rPr>
          <w:i/>
        </w:rPr>
        <w:t>within-year shuffle</w:t>
      </w:r>
      <w:r>
        <w:t xml:space="preserve"> —</w:t>
      </w:r>
    </w:p>
    <w:p>
      <w:r>
        <w:t>aid-type share vectors permuted across recipients within year (200 draws,</w:t>
      </w:r>
    </w:p>
    <w:p>
      <w:r>
        <w:t>seed 20260925) — yields a share of permuted coefficients at least as extreme</w:t>
      </w:r>
    </w:p>
    <w:p>
      <w:r>
        <w:t>as the observed TC coefficient (-0.203) of</w:t>
      </w:r>
    </w:p>
    <w:p>
      <w:r>
        <w:t>2% (placebo mean</w:t>
      </w:r>
    </w:p>
    <w:p>
      <w:r>
        <w:t>-0.0026, sd 0.083), i.e. only about one in fifty</w:t>
      </w:r>
    </w:p>
    <w:p>
      <w:r>
        <w:t>randomized compositions is as extreme, in a one-sided extremeness sense. This rules out</w:t>
      </w:r>
    </w:p>
    <w:p>
      <w:r>
        <w:t>mechanical artifacts of the share-parameterization, but not selection on</w:t>
      </w:r>
    </w:p>
    <w:p>
      <w:r>
        <w:t>recipient characteristics.</w:t>
      </w:r>
    </w:p>
    <w:p>
      <w:pPr>
        <w:pStyle w:val="Heading2"/>
      </w:pPr>
      <w:r>
        <w:t>5.7 Procurement linkage (exploratory)</w:t>
      </w:r>
    </w:p>
    <w:p>
      <w:r>
        <w:t>In the partial, recent-biased sample of World Bank contract awards, the</w:t>
      </w:r>
    </w:p>
    <w:p>
      <w:r>
        <w:t>share of contract value awarded to bidders located in the project country</w:t>
      </w:r>
    </w:p>
    <w:p>
      <w:r>
        <w:t>correlates modestly with the recipient-government channel share</w:t>
      </w:r>
    </w:p>
    <w:p>
      <w:r>
        <w:t>(results/audits/PHASE_14_PROCUREMENT.md). Supplier country is not domestic</w:t>
      </w:r>
    </w:p>
    <w:p>
      <w:r>
        <w:t>value added and coverage is partial; this section is descriptive only.</w:t>
      </w:r>
    </w:p>
    <w:p>
      <w:pPr>
        <w:pStyle w:val="Heading1"/>
      </w:pPr>
      <w:r>
        <w:t>6. Discussion</w:t>
      </w:r>
    </w:p>
    <w:p>
      <w:r>
        <w:t>The most plausible alternative explanation for the negative technical-</w:t>
      </w:r>
    </w:p>
    <w:p>
      <w:r>
        <w:t>cooperation association is confounding by indication: donors deploy TC-heavy</w:t>
      </w:r>
    </w:p>
    <w:p>
      <w:r>
        <w:t>portfolios precisely where institutions and implementation capacity are</w:t>
      </w:r>
    </w:p>
    <w:p>
      <w:r>
        <w:t xml:space="preserve">weakest. Under that reading, TC intensity is a </w:t>
      </w:r>
      <w:r>
        <w:rPr>
          <w:i/>
        </w:rPr>
        <w:t>marker</w:t>
      </w:r>
      <w:r>
        <w:t xml:space="preserve"> of a difficult</w:t>
      </w:r>
    </w:p>
    <w:p>
      <w:r>
        <w:t>recipient context rather than a harmful architecture. Our within-recipient</w:t>
      </w:r>
    </w:p>
    <w:p>
      <w:r>
        <w:t>and falsification analyses constrain but cannot eliminate this</w:t>
      </w:r>
    </w:p>
    <w:p>
      <w:r>
        <w:t>interpretation. The lead-placebo result is consistent with the association</w:t>
      </w:r>
    </w:p>
    <w:p>
      <w:r>
        <w:t>not being an artifact of trending portfolios alone, but residual selection</w:t>
      </w:r>
    </w:p>
    <w:p>
      <w:r>
        <w:t>on recipient need remains the leading rival explanation.</w:t>
      </w:r>
    </w:p>
    <w:p>
      <w:r>
        <w:t>Further limitations: lag windows may miss the true horizon of capacity</w:t>
      </w:r>
    </w:p>
    <w:p>
      <w:r>
        <w:t>formation; reporting heterogeneity across donors (tying flags are</w:t>
      </w:r>
    </w:p>
    <w:p>
      <w:r>
        <w:t>increasingly non-reported after 2005) limits the tying analysis to a</w:t>
      </w:r>
    </w:p>
    <w:p>
      <w:r>
        <w:t>reported subsample; the procurement measure is partial and cannot measure</w:t>
      </w:r>
    </w:p>
    <w:p>
      <w:r>
        <w:t>domestic value added; and share coefficients are compositional contrasts,</w:t>
      </w:r>
    </w:p>
    <w:p>
      <w:r>
        <w:t>not absolute effects of any single modality. In addition, the TC-share</w:t>
      </w:r>
    </w:p>
    <w:p>
      <w:r>
        <w:t>measure captures only modality-D technical cooperation (a small disbursement</w:t>
      </w:r>
    </w:p>
    <w:p>
      <w:r>
        <w:t>share); TC embedded in project-type aid is measured separately via the</w:t>
      </w:r>
    </w:p>
    <w:p>
      <w:r>
        <w:t>project-TC-component variable and shows no consistent association pattern.</w:t>
      </w:r>
    </w:p>
    <w:p>
      <w:pPr>
        <w:pStyle w:val="Heading1"/>
      </w:pPr>
      <w:r>
        <w:t>7. Conclusion</w:t>
      </w:r>
    </w:p>
    <w:p>
      <w:r>
        <w:t>Conditional on aid volume, delivery architecture differs systematically</w:t>
      </w:r>
    </w:p>
    <w:p>
      <w:r>
        <w:t>across donors and is associated with medium-run recipient outcomes. The</w:t>
      </w:r>
    </w:p>
    <w:p>
      <w:r>
        <w:t>technical-cooperation association is negative and survives the falsification</w:t>
      </w:r>
    </w:p>
    <w:p>
      <w:r>
        <w:t>suite, but the design is associational and selection is a first-order rival</w:t>
      </w:r>
    </w:p>
    <w:p>
      <w:r>
        <w:t>explanation. Whether TC-heavy portfolios are causal, a marker, or both is</w:t>
      </w:r>
    </w:p>
    <w:p>
      <w:r>
        <w:t>the priority question for designs with better identification.</w:t>
      </w:r>
    </w:p>
    <w:p>
      <w:pPr>
        <w:pStyle w:val="Heading1"/>
      </w:pPr>
      <w:r>
        <w:t>References</w:t>
      </w:r>
    </w:p>
    <w:p>
      <w:r>
        <w:t>1. Burnside &amp; Dollar. Aid, Policies, and Growth. American Economic Review. 2000. doi:10.1257/aer.90.4.847</w:t>
      </w:r>
    </w:p>
    <w:p>
      <w:r>
        <w:t>2. Burnside &amp; Dollar. Aid, Policies, and Growth: Revisiting the Evidence. World Bank Policy Research Working Paper 3251. 2004. doi:10.1596/1813-9450-3251</w:t>
      </w:r>
    </w:p>
    <w:p>
      <w:r>
        <w:t>3. Easterly. Can Foreign Aid Buy Growth?. Journal of Economic Perspectives. 2003. doi:10.1257/089533003769204344</w:t>
      </w:r>
    </w:p>
    <w:p>
      <w:r>
        <w:t>4. Clemens et al.. Counting Chickens when they Hatch: Timing and the Effects of Aid on Growth. The Economic Journal. 2012. doi:10.1111/j.1468-0297.2011.02482.x</w:t>
      </w:r>
    </w:p>
    <w:p>
      <w:r>
        <w:t>5. Rajan &amp; Subramanian. Aid and Growth: What Does the Cross-Country Evidence Really Show?. Review of Economics and Statistics. 2008. doi:10.1162/rest.90.4.643</w:t>
      </w:r>
    </w:p>
    <w:p>
      <w:r>
        <w:t>6. Arndt, Jones &amp; Tarp. Assessing Foreign Aid’s Long-Run Contribution to Growth and Development. World Development. 2015. doi:10.1016/j.worlddev.2013.12.016</w:t>
      </w:r>
    </w:p>
    <w:p>
      <w:r>
        <w:t>7. Minoiu &amp; Reddy. Development Aid and Economic Growth: A Positive Long-Run Relation. Quarterly Review of Economics and Finance. 2010. doi:10.1016/j.qref.2009.10.004</w:t>
      </w:r>
    </w:p>
    <w:p>
      <w:r>
        <w:t>8. Doucouliagos &amp; Paldam. The ineffectiveness of development aid on growth: An update. European Journal of Political Economy. 2011. doi:10.1016/j.ejpoleco.2010.11.004</w:t>
      </w:r>
    </w:p>
    <w:p>
      <w:r>
        <w:t>9. Mekasha &amp; Tarp. Aid and Growth: What Meta-Analysis Reveals. The Journal of Development Studies. 2013. doi:10.1080/00220388.2012.709621</w:t>
      </w:r>
    </w:p>
    <w:p>
      <w:r>
        <w:t>10. Alesina &amp; Dollar. Who Gives Foreign Aid to Whom and Why?. Journal of Economic Growth. 2000. doi:10.1023/a:1009874203400</w:t>
      </w:r>
    </w:p>
    <w:p>
      <w:r>
        <w:t>11. Kilby &amp; Dreher. The Impact of Aid on Growth Revisited: Do Donor Motives Matter?. Economics Letters. 2010. doi:10.1016/j.econlet.2010.02.015</w:t>
      </w:r>
    </w:p>
    <w:p>
      <w:r>
        <w:t>12. Feeny &amp; McGillivray. What Determines Bilateral Aid Allocations? Evidence From Time Series Data. Review of Development Economics. 2008. doi:10.1111/j.1467-9361.2008.00443.x</w:t>
      </w:r>
    </w:p>
    <w:p>
      <w:r>
        <w:t>13. Berthelemy &amp; Tichit. Bilateral donors' aid allocation decisions—a three-dimensional panel analysis. International Review of Economics &amp;amp; Finance. 2004. doi:10.1016/j.iref.2003.11.004</w:t>
      </w:r>
    </w:p>
    <w:p>
      <w:r>
        <w:t>14. Boone. Politics and the Effectiveness of Foreign Aid. European Economic Review. 1996. doi:10.1016/0014-2921(95)00127-1</w:t>
      </w:r>
    </w:p>
    <w:p>
      <w:r>
        <w:t>15. Feyzioglu, Swaroop &amp; Zhu. A Panel Data Analysis of the Fungibility of Foreign Aid. World Bank Economic Review. 1998. doi:10.1093/wber/12.1.29</w:t>
      </w:r>
    </w:p>
    <w:p>
      <w:r>
        <w:t>16. Devarajan &amp; Swaroop. The Implications of Foreign Aid Fungibility for Development Assistance. World Bank Policy Research Working Paper 2022. 1998. doi:10.1596/1813-9450-2022</w:t>
      </w:r>
    </w:p>
    <w:p>
      <w:r>
        <w:t>17. Pettersson. Foreign sectoral aid fungibility, growth and poverty reduction. Journal of International Development. 2007. doi:10.1002/jid.1378</w:t>
      </w:r>
    </w:p>
    <w:p>
      <w:r>
        <w:t>18. Easterly &amp; Pfutze. Where Does the Money Go? Best and Worst Practices in Foreign Aid. Journal of Economic Perspectives. 2008. doi:10.1257/jep.22.2.29</w:t>
      </w:r>
    </w:p>
    <w:p>
      <w:r>
        <w:t>19. Clay, Geddes &amp; Natali. Untying Aid: Is it Working? An Evaluation of the Implementation of the Paris Declaration and of the 2001 DAC Recommendation on Untying ODA to the LDCs. Danish Institute for International Studies (DIIS) report. 2009.</w:t>
      </w:r>
    </w:p>
    <w:p>
      <w:r>
        <w:t>20. Jepma. Aid Tying: Trade and Resource Allocation Effects. The Economics of Aid (Jepma, ed., Routledge). 1991.</w:t>
      </w:r>
    </w:p>
    <w:p>
      <w:r>
        <w:t>21. Morrissey &amp; White. EVALUATING THE CONCESSIONALITY OF TIED AID*. The Manchester School. 1996. doi:10.1111/j.1467-9957.1996.tb00481.x</w:t>
      </w:r>
    </w:p>
    <w:p>
      <w:r>
        <w:t>22. Knack. Aid Dependence and the Quality of Governance: Cross-Country Empirical Tests. Southern Economic Journal. 2001. doi:10.2307/1061596</w:t>
      </w:r>
    </w:p>
    <w:p>
      <w:r>
        <w:t>23. Brautigam &amp; Knack. Foreign Aid, Institutions, and Governance in Sub‐Saharan Africa. Economic Development and Cultural Change. 2004. doi:10.1086/380592</w:t>
      </w:r>
    </w:p>
    <w:p>
      <w:r>
        <w:t>24. Bulir &amp; Hamann. Volatility of Development Aid: From the Frying Pan into the Fire?. World Development. 2008. doi:10.1016/j.worlddev.2007.02.019</w:t>
      </w:r>
    </w:p>
    <w:p>
      <w:r>
        <w:t>25. Fukuda-Parr, Lopes &amp; Malik. Capacity for Development: New Solutions to Old Problems. Earthscan/UNDP (eds. Fukuda-Parr, Lopes, Malik). 2002.</w:t>
      </w:r>
    </w:p>
    <w:p>
      <w:r>
        <w:t>26. Kenny. What Is Effective Aid? How Would Donors Allocate It?. European Journal of Development Research. 2008. doi:10.1080/09578810802078704</w:t>
      </w:r>
    </w:p>
    <w:p>
      <w:r>
        <w:t>27. Bourguignon &amp; Sundberg. Aid Effectiveness—Opening the Black Box. American Economic Review. 2007. doi:10.1257/aer.97.2.316</w:t>
      </w:r>
    </w:p>
    <w:p>
      <w:pPr>
        <w:pStyle w:val="Heading1"/>
      </w:pPr>
      <w:r>
        <w:t>Figures (separate files for submission)</w:t>
      </w:r>
    </w:p>
    <w:p>
      <w:r>
        <w:t>channel shares over time.</w:t>
      </w:r>
    </w:p>
    <w:p>
      <w:r>
        <w:t>the top-20 donors by ODA volume (descriptive; not a quality ranking).</w:t>
      </w:r>
    </w:p>
    <w:p>
      <w:r>
        <w:t>share of recipient GDP (percent).</w:t>
      </w:r>
    </w:p>
    <w:p>
      <w:r>
        <w:t>coefficients by lag window, chronological order; coefficients are</w:t>
      </w:r>
    </w:p>
    <w:p>
      <w:r>
        <w:t>compositional contrasts vs the omitted aid-type composition.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Disbursement-weighted aid-type and delivery-channel shares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no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Aid-architecture profiles of the top-20 donors by ODA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da_gdp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Distribution of ODA disbursements as a share of recipient GDP.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ef_tc_wind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Technical-cooperation-share coefficients by lag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