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Beyond Aid Volume: Aid Architecture, Local Economic Participation, Capacity Formation, and Persistent Development Outcomes</w:t>
      </w:r>
    </w:p>
    <w:p>
      <w:pPr>
        <w:pStyle w:val="Heading1"/>
      </w:pPr>
      <w:r>
        <w:t>Abstract</w:t>
      </w:r>
    </w:p>
    <w:p>
      <w:r>
        <w:rPr>
          <w:b/>
        </w:rPr>
        <w:t>Background.</w:t>
      </w:r>
      <w:r>
        <w:t xml:space="preserve"> The aid-effectiveness literature debates whether aid volume</w:t>
      </w:r>
    </w:p>
    <w:p>
      <w:r>
        <w:t xml:space="preserve">raises growth; far less is known about whether the </w:t>
      </w:r>
      <w:r>
        <w:rPr>
          <w:i/>
        </w:rPr>
        <w:t>architecture</w:t>
      </w:r>
      <w:r>
        <w:t xml:space="preserve"> of delivery —</w:t>
      </w:r>
    </w:p>
    <w:p>
      <w:r>
        <w:t>composition by aid type, delivery channel, financial instrument, and tying —</w:t>
      </w:r>
    </w:p>
    <w:p>
      <w:r>
        <w:t xml:space="preserve">matters when total aid is held constant. </w:t>
      </w:r>
      <w:r>
        <w:rPr>
          <w:b/>
        </w:rPr>
        <w:t>Methods.</w:t>
      </w:r>
      <w:r>
        <w:t xml:space="preserve"> We construct donor ×</w:t>
      </w:r>
    </w:p>
    <w:p>
      <w:r>
        <w:t>recipient × year aid-architecture panels from the OECD CRS full activity file</w:t>
      </w:r>
    </w:p>
    <w:p>
      <w:r>
        <w:t>(145790.0 dyad-years, 1995–2024), merge with UN WPP demography and</w:t>
      </w:r>
    </w:p>
    <w:p>
      <w:r>
        <w:t>WDI outcomes (141.0 recipients, 4169.0</w:t>
      </w:r>
    </w:p>
    <w:p>
      <w:r>
        <w:t>recipient-years), and estimate two-way fixed-effects panel models of outcome</w:t>
      </w:r>
    </w:p>
    <w:p>
      <w:r>
        <w:t>windows 1–2 through 11–15 years ahead, conditional on log ODA per capita and</w:t>
      </w:r>
    </w:p>
    <w:p>
      <w:r>
        <w:t>frozen demographic adjustment sets. All claims are capped at Level B</w:t>
      </w:r>
    </w:p>
    <w:p>
      <w:r>
        <w:t xml:space="preserve">(adjusted association). </w:t>
      </w:r>
      <w:r>
        <w:rPr>
          <w:b/>
        </w:rPr>
        <w:t>Findings.</w:t>
      </w:r>
      <w:r>
        <w:t xml:space="preserve"> Architecture varies systematically by</w:t>
      </w:r>
    </w:p>
    <w:p>
      <w:r>
        <w:t>donor: donor identity explains a large share of portfolio-structure variance.</w:t>
      </w:r>
    </w:p>
    <w:p>
      <w:r>
        <w:t>Holding aid volume constant, a higher technical-cooperation share is</w:t>
      </w:r>
    </w:p>
    <w:p>
      <w:r>
        <w:t xml:space="preserve">associated with </w:t>
      </w:r>
      <w:r>
        <w:rPr>
          <w:i/>
        </w:rPr>
        <w:t>lower</w:t>
      </w:r>
      <w:r>
        <w:t xml:space="preserve"> subsequent GDP per capita (β=-0.1901</w:t>
      </w:r>
    </w:p>
    <w:p>
      <w:r>
        <w:t>per unit share, window 3–5y) and lower manufacturing value added</w:t>
      </w:r>
    </w:p>
    <w:p>
      <w:r>
        <w:t>(β=-4.1142). A within-year shuffle placebo places the</w:t>
      </w:r>
    </w:p>
    <w:p>
      <w:r>
        <w:t>estimate beyond 3% of random</w:t>
      </w:r>
    </w:p>
    <w:p>
      <w:r>
        <w:t xml:space="preserve">allocations; a lead-architecture placebo is null. </w:t>
      </w:r>
      <w:r>
        <w:rPr>
          <w:b/>
        </w:rPr>
        <w:t>Interpretation.</w:t>
      </w:r>
      <w:r>
        <w:t xml:space="preserve"> How aid</w:t>
      </w:r>
    </w:p>
    <w:p>
      <w:r>
        <w:t>is delivered is a first-order margin of donor heterogeneity; the negative TC</w:t>
      </w:r>
    </w:p>
    <w:p>
      <w:r>
        <w:t>association is robust but associational and should not be read causally.</w:t>
      </w:r>
    </w:p>
    <w:p>
      <w:r>
        <w:t>Dashboard exports implement only fixed-total-aid reallocations with explicit</w:t>
      </w:r>
    </w:p>
    <w:p>
      <w:r>
        <w:t>support/extrapolation flags.</w:t>
      </w:r>
    </w:p>
    <w:p>
      <w:pPr>
        <w:pStyle w:val="Heading1"/>
      </w:pPr>
      <w:r>
        <w:t>1. Introduction</w:t>
      </w:r>
    </w:p>
    <w:p>
      <w:r>
        <w:t xml:space="preserve">The aid-effectiveness literature has centered on whether </w:t>
      </w:r>
      <w:r>
        <w:rPr>
          <w:i/>
        </w:rPr>
        <w:t>how much</w:t>
      </w:r>
      <w:r>
        <w:t xml:space="preserve"> aid a</w:t>
      </w:r>
    </w:p>
    <w:p>
      <w:r>
        <w:t xml:space="preserve">country receives affects growth and development </w:t>
      </w:r>
      <w:r>
        <w:rPr>
          <w:vertAlign w:val="superscript"/>
        </w:rPr>
        <w:t>1,2</w:t>
      </w:r>
      <w:r>
        <w:t>.</w:t>
      </w:r>
    </w:p>
    <w:p>
      <w:r>
        <w:t>Burnside and Dollar's policy-interaction result was shown fragile to sample</w:t>
      </w:r>
    </w:p>
    <w:p>
      <w:r>
        <w:t xml:space="preserve">and specification choices </w:t>
      </w:r>
      <w:r>
        <w:rPr>
          <w:vertAlign w:val="superscript"/>
        </w:rPr>
        <w:t>3,4</w:t>
      </w:r>
      <w:r>
        <w:t>, and meta-analytic and</w:t>
      </w:r>
    </w:p>
    <w:p>
      <w:r>
        <w:t xml:space="preserve">long-run reassessments remain contested </w:t>
      </w:r>
      <w:r>
        <w:rPr>
          <w:vertAlign w:val="superscript"/>
        </w:rPr>
        <w:t>5,6,7,8,9</w:t>
      </w:r>
      <w:r>
        <w:t>.</w:t>
      </w:r>
    </w:p>
    <w:p>
      <w:r>
        <w:t>Three adjacent literatures motivate an architectural turn rather than another</w:t>
      </w:r>
    </w:p>
    <w:p>
      <w:r>
        <w:t>aid-growth regression: (i) donor allocation studies show bilateral aid is</w:t>
      </w:r>
    </w:p>
    <w:p>
      <w:r>
        <w:t>shaped by donor motives as much as recipient need</w:t>
      </w:r>
    </w:p>
    <w:p>
      <w:r>
        <w:rPr>
          <w:vertAlign w:val="superscript"/>
        </w:rPr>
        <w:t>10,11,12,13</w:t>
      </w:r>
      <w:r>
        <w:t>; (ii) fungibility work</w:t>
      </w:r>
    </w:p>
    <w:p>
      <w:r>
        <w:t>shows the use of aid is endogenous to its form</w:t>
      </w:r>
    </w:p>
    <w:p>
      <w:r>
        <w:rPr>
          <w:vertAlign w:val="superscript"/>
        </w:rPr>
        <w:t>14,15,16,17</w:t>
      </w:r>
      <w:r>
        <w:t>; and (iii) practice-</w:t>
      </w:r>
    </w:p>
    <w:p>
      <w:r>
        <w:t>oriented assessments document large cross-donor differences in tying,</w:t>
      </w:r>
    </w:p>
    <w:p>
      <w:r>
        <w:t xml:space="preserve">channels, and modality "best practice" </w:t>
      </w:r>
      <w:r>
        <w:rPr>
          <w:vertAlign w:val="superscript"/>
        </w:rPr>
        <w:t>18,19,20,21</w:t>
      </w:r>
      <w:r>
        <w:t>.</w:t>
      </w:r>
    </w:p>
    <w:p>
      <w:r>
        <w:t>Institutional channels have been linked to governance outcomes</w:t>
      </w:r>
    </w:p>
    <w:p>
      <w:r>
        <w:rPr>
          <w:vertAlign w:val="superscript"/>
        </w:rPr>
        <w:t>22,23</w:t>
      </w:r>
      <w:r>
        <w:t>, aid volatility complicates domestic planning</w:t>
      </w:r>
    </w:p>
    <w:p>
      <w:r>
        <w:rPr>
          <w:vertAlign w:val="superscript"/>
        </w:rPr>
        <w:t>24</w:t>
      </w:r>
      <w:r>
        <w:t>, and capacity formation has long been named as the mechanism</w:t>
      </w:r>
    </w:p>
    <w:p>
      <w:r>
        <w:t xml:space="preserve">aid is supposed to build </w:t>
      </w:r>
      <w:r>
        <w:rPr>
          <w:vertAlign w:val="superscript"/>
        </w:rPr>
        <w:t>25,26</w:t>
      </w:r>
      <w:r>
        <w:t>. Bourguignon and Sundberg</w:t>
      </w:r>
    </w:p>
    <w:p>
      <w:r>
        <w:t>called explicitly for "opening the black box" between disbursement and</w:t>
      </w:r>
    </w:p>
    <w:p>
      <w:r>
        <w:t xml:space="preserve">outcome </w:t>
      </w:r>
      <w:r>
        <w:rPr>
          <w:vertAlign w:val="superscript"/>
        </w:rPr>
        <w:t>27</w:t>
      </w:r>
      <w:r>
        <w:t>. What remains comparatively unexplored is the</w:t>
      </w:r>
    </w:p>
    <w:p>
      <w:r>
        <w:rPr>
          <w:i/>
        </w:rPr>
        <w:t>architecture</w:t>
      </w:r>
      <w:r>
        <w:t xml:space="preserve"> of delivery: given a fixed nominal amount, does composition</w:t>
      </w:r>
    </w:p>
    <w:p>
      <w:r>
        <w:t>by aid type (budget support vs project vs technical cooperation), delivery</w:t>
      </w:r>
    </w:p>
    <w:p>
      <w:r>
        <w:t>channel (recipient government vs NGO vs multilateral vs private sector),</w:t>
      </w:r>
    </w:p>
    <w:p>
      <w:r>
        <w:t>financial instrument (grant vs loan), and tying status correlate with</w:t>
      </w:r>
    </w:p>
    <w:p>
      <w:r>
        <w:t>medium-run outcomes?</w:t>
      </w:r>
    </w:p>
    <w:p>
      <w:r>
        <w:t>We answer descriptively-associational: this is a Level-B design. The</w:t>
      </w:r>
    </w:p>
    <w:p>
      <w:r>
        <w:t>contribution is (i) a harmonized aid-architecture measurement stack built on</w:t>
      </w:r>
    </w:p>
    <w:p>
      <w:r>
        <w:t>the full CRS activity file; (ii) frozen estimands and a falsification suite;</w:t>
      </w:r>
    </w:p>
    <w:p>
      <w:r>
        <w:t>(iii) a donor-vs-recipient variance decomposition of architecture; and (iv)</w:t>
      </w:r>
    </w:p>
    <w:p>
      <w:r>
        <w:t>dashboard-ready scenario exports constrained to fixed-total reallocations.</w:t>
      </w:r>
    </w:p>
    <w:p>
      <w:pPr>
        <w:pStyle w:val="Heading1"/>
      </w:pPr>
      <w:r>
        <w:t>2. Data</w:t>
      </w:r>
    </w:p>
    <w:p>
      <w:r>
        <w:t>(Section summarizes the provenance ledger in data/metadata/. Full raw files</w:t>
      </w:r>
    </w:p>
    <w:p>
      <w:r>
        <w:t>with SHA-256 manifests are preserved under data/raw/.)</w:t>
      </w:r>
    </w:p>
    <w:p>
      <w:pPr>
        <w:pStyle w:val="ListBullet"/>
      </w:pPr>
      <w:r>
        <w:t>OECD Creditor Reporting System, full activity file (6.24M rows, 1973–2024);</w:t>
      </w:r>
    </w:p>
    <w:p>
      <w:r>
        <w:t>ODA rows (category 10), 1995–2024 used for analysis.</w:t>
      </w:r>
    </w:p>
    <w:p>
      <w:pPr>
        <w:pStyle w:val="ListBullet"/>
      </w:pPr>
      <w:r>
        <w:t>OECD DAC aggregate tables and code lists.</w:t>
      </w:r>
    </w:p>
    <w:p>
      <w:pPr>
        <w:pStyle w:val="ListBullet"/>
      </w:pPr>
      <w:r>
        <w:t>World Bank World Development Indicators (21 indicators).</w:t>
      </w:r>
    </w:p>
    <w:p>
      <w:pPr>
        <w:pStyle w:val="ListBullet"/>
      </w:pPr>
      <w:r>
        <w:t>UN World Population Prospects 2024 (demographic indicators + 5-year age</w:t>
      </w:r>
    </w:p>
    <w:p>
      <w:r>
        <w:t>structure).</w:t>
      </w:r>
    </w:p>
    <w:p>
      <w:pPr>
        <w:pStyle w:val="ListBullet"/>
      </w:pPr>
      <w:r>
        <w:t>World Bank procurement notices (partial sample; Phase 14 limitations).</w:t>
      </w:r>
    </w:p>
    <w:p>
      <w:pPr>
        <w:pStyle w:val="ListBullet"/>
      </w:pPr>
      <w:r>
        <w:t>AidData 3.1 core release (sector-composition robustness only).</w:t>
      </w:r>
    </w:p>
    <w:p>
      <w:pPr>
        <w:pStyle w:val="Heading1"/>
      </w:pPr>
      <w:r>
        <w:t>3. Measurement</w:t>
      </w:r>
    </w:p>
    <w:p>
      <w:r>
        <w:t>Architecture is measured as disbursement-weighted shares of constant-USD ODA:</w:t>
      </w:r>
    </w:p>
    <w:p>
      <w:r>
        <w:t>aid-type shares (technical cooperation, budget support, project-type,</w:t>
      </w:r>
    </w:p>
    <w:p>
      <w:r>
        <w:t>pooled/earmarked, NGO core, scholarships, debt relief, admin/refugee),</w:t>
      </w:r>
    </w:p>
    <w:p>
      <w:r>
        <w:t>channel shares (recipient government, donor government, third-country</w:t>
      </w:r>
    </w:p>
    <w:p>
      <w:r>
        <w:t>government, NGO, multilateral, PPP/network, private), finance shares</w:t>
      </w:r>
    </w:p>
    <w:p>
      <w:r>
        <w:t>(grant/loan/other), and tying where reported. Levels L0–L5 follow the</w:t>
      </w:r>
    </w:p>
    <w:p>
      <w:r>
        <w:t>variable ontology; no composite capacity index is constructed.</w:t>
      </w:r>
    </w:p>
    <w:p>
      <w:pPr>
        <w:pStyle w:val="Heading1"/>
      </w:pPr>
      <w:r>
        <w:t>4. Empirical strategy</w:t>
      </w:r>
    </w:p>
    <w:p>
      <w:r>
        <w:t>Frozen estimands and adjustment sets are documented in</w:t>
      </w:r>
    </w:p>
    <w:p>
      <w:r>
        <w:t>results/audits/PHASE_10_11_IDENTIFICATION_AND_ESTIMANDS.md. Primary spec:</w:t>
      </w:r>
    </w:p>
    <w:p>
      <w:r>
        <w:t>outcome mean over lag window w ~ architecture shares_t + ln ODA pc_t +</w:t>
      </w:r>
    </w:p>
    <w:p>
      <w:r>
        <w:t>demographic controls + country and year FE, clustered by country. Claim</w:t>
      </w:r>
    </w:p>
    <w:p>
      <w:r>
        <w:t>ceiling B throughout; no estimates are described as causal.</w:t>
      </w:r>
    </w:p>
    <w:p>
      <w:pPr>
        <w:pStyle w:val="Heading1"/>
      </w:pPr>
      <w:r>
        <w:t>5. Results</w:t>
      </w:r>
    </w:p>
    <w:p>
      <w:pPr>
        <w:pStyle w:val="Heading2"/>
      </w:pPr>
      <w:r>
        <w:t>5.1 Descriptive structure</w:t>
      </w:r>
    </w:p>
    <w:p>
      <w:r>
        <w:t>Mean ODA/GDP is 0.0 (share). Disbursement-weighted TC</w:t>
      </w:r>
    </w:p>
    <w:p>
      <w:r>
        <w:t>share averages 0.0181. Architecture trends and donor</w:t>
      </w:r>
    </w:p>
    <w:p>
      <w:r>
        <w:t>profiles are in results/figures/fig_architecture_trends.png and</w:t>
      </w:r>
    </w:p>
    <w:p>
      <w:r>
        <w:t>fig_donor_architecture.png.</w:t>
      </w:r>
    </w:p>
    <w:p>
      <w:pPr>
        <w:pStyle w:val="Heading2"/>
      </w:pPr>
      <w:r>
        <w:t>5.2 Main estimates</w:t>
      </w:r>
    </w:p>
    <w:p>
      <w:r>
        <w:t>Figure fig_coef_tc_windows.png and Table model_coefficients_all.csv report</w:t>
      </w:r>
    </w:p>
    <w:p>
      <w:r>
        <w:t>coefficients by lag window. Technical-cooperation share β on log GDP pc is</w:t>
      </w:r>
    </w:p>
    <w:p>
      <w:r>
        <w:t>-0.1901 (3–5y window); on manufacturing VA/GDP</w:t>
      </w:r>
    </w:p>
    <w:p>
      <w:r>
        <w:t>-4.1142. Budget-support share is small and imprecise</w:t>
      </w:r>
    </w:p>
    <w:p>
      <w:r>
        <w:t>throughout.</w:t>
      </w:r>
    </w:p>
    <w:p>
      <w:pPr>
        <w:pStyle w:val="Heading2"/>
      </w:pPr>
      <w:r>
        <w:t>5.3 Adjustment stability</w:t>
      </w:r>
    </w:p>
    <w:p>
      <w:r>
        <w:t>β_TC moves from -0.1901 (set B) to more negative under</w:t>
      </w:r>
    </w:p>
    <w:p>
      <w:r>
        <w:t>aggressive controls (set C); see adjustment_stability.csv.</w:t>
      </w:r>
    </w:p>
    <w:p>
      <w:pPr>
        <w:pStyle w:val="Heading2"/>
      </w:pPr>
      <w:r>
        <w:t>5.4 Donor decomposition</w:t>
      </w:r>
    </w:p>
    <w:p>
      <w:r>
        <w:t>Donor+year fixed effects explain a large share of architecture variance</w:t>
      </w:r>
    </w:p>
    <w:p>
      <w:r>
        <w:t>(e.g., full-model r² ≈ 0.6241</w:t>
      </w:r>
    </w:p>
    <w:p>
      <w:r>
        <w:t>for recipient-government channel share, 0.6712</w:t>
      </w:r>
    </w:p>
    <w:p>
      <w:r>
        <w:t>for project-type share): donor identity is a first-order driver of the</w:t>
      </w:r>
    </w:p>
    <w:p>
      <w:r>
        <w:t>architecture recipients face.</w:t>
      </w:r>
    </w:p>
    <w:p>
      <w:pPr>
        <w:pStyle w:val="Heading2"/>
      </w:pPr>
      <w:r>
        <w:t>5.5 Falsification</w:t>
      </w:r>
    </w:p>
    <w:p>
      <w:r>
        <w:t>Lead-placebo β=-0.1476 (n.s.); pseudo-outcome null;</w:t>
      </w:r>
    </w:p>
    <w:p>
      <w:r>
        <w:t>within-year shuffle percentile 3%.</w:t>
      </w:r>
    </w:p>
    <w:p>
      <w:r>
        <w:t>See falsification_results.csv.</w:t>
      </w:r>
    </w:p>
    <w:p>
      <w:pPr>
        <w:pStyle w:val="Heading2"/>
      </w:pPr>
      <w:r>
        <w:t>5.6 Procurement linkage (exploratory)</w:t>
      </w:r>
    </w:p>
    <w:p>
      <w:r>
        <w:t>Partial WB contract-award sample suggests bidder-country patterns correlate</w:t>
      </w:r>
    </w:p>
    <w:p>
      <w:r>
        <w:t>with channel shares; treated as descriptive only.</w:t>
      </w:r>
    </w:p>
    <w:p>
      <w:pPr>
        <w:pStyle w:val="Heading1"/>
      </w:pPr>
      <w:r>
        <w:t>6. Discussion</w:t>
      </w:r>
    </w:p>
    <w:p>
      <w:r>
        <w:t>Findings are consistent with architecture being a real margin of donor</w:t>
      </w:r>
    </w:p>
    <w:p>
      <w:r>
        <w:t>heterogeneity, and with technical-cooperation-heavy portfolios associating</w:t>
      </w:r>
    </w:p>
    <w:p>
      <w:r>
        <w:t>with weaker subsequent outcomes conditional on aid volume. Mechanisms cannot</w:t>
      </w:r>
    </w:p>
    <w:p>
      <w:r>
        <w:t>be separated from selection (donors may deploy TC where governments are</w:t>
      </w:r>
    </w:p>
    <w:p>
      <w:r>
        <w:t>weak). All results are Level B.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No causal identification; sorting on unobservables remains.</w:t>
      </w:r>
    </w:p>
    <w:p>
      <w:pPr>
        <w:pStyle w:val="ListBullet"/>
      </w:pPr>
      <w:r>
        <w:t>Tying under-reported post-2005; procurement sample partial and recent-biased.</w:t>
      </w:r>
    </w:p>
    <w:p>
      <w:pPr>
        <w:pStyle w:val="ListBullet"/>
      </w:pPr>
      <w:r>
        <w:t>Share coefficients are compositional contrasts vs the omitted share.</w:t>
      </w:r>
    </w:p>
    <w:p>
      <w:pPr>
        <w:pStyle w:val="ListBullet"/>
      </w:pPr>
      <w:r>
        <w:t>Supplier-country of procurement ≠ domestic value added.</w:t>
      </w:r>
    </w:p>
    <w:p>
      <w:pPr>
        <w:pStyle w:val="Heading1"/>
      </w:pPr>
      <w:r>
        <w:t>8. Conclusion</w:t>
      </w:r>
    </w:p>
    <w:p>
      <w:r>
        <w:t>When aid volume is held constant, delivery architecture still differs</w:t>
      </w:r>
    </w:p>
    <w:p>
      <w:r>
        <w:t>sharply across donors and correlates with medium-run recipient outcomes.</w:t>
      </w:r>
    </w:p>
    <w:p>
      <w:r>
        <w:t>These are associations, not effects; the burden of causal evidence remains</w:t>
      </w:r>
    </w:p>
    <w:p>
      <w:r>
        <w:t>on future designs.</w:t>
      </w:r>
    </w:p>
    <w:p>
      <w:pPr>
        <w:pStyle w:val="Heading1"/>
      </w:pPr>
      <w:r>
        <w:t>References</w:t>
      </w:r>
    </w:p>
    <w:p>
      <w:r>
        <w:t>1. Burnside &amp; Dollar. Aid, growth, policies and fragility. Handbook on the Economics of Foreign Aid. 2000. doi:10.4337/9781783474592.00032</w:t>
      </w:r>
    </w:p>
    <w:p>
      <w:r>
        <w:t>2. Burnside &amp; Dollar. Aid, Policies, and Growth: Revisiting the Evidence. World Bank Economic Review. 2004. doi:10.1596/1813-9450-3251</w:t>
      </w:r>
    </w:p>
    <w:p>
      <w:r>
        <w:t>3. Easterly. Can Foreign Aid Buy Growth?. Journal of Economic Perspectives. 2003. doi:10.1257/089533003769204344</w:t>
      </w:r>
    </w:p>
    <w:p>
      <w:r>
        <w:t>4. Clemens et al.. Counting Chickens when they Hatch: Timing and the Effects of Aid on Growth. The Economic Journal. 2012. doi:10.1111/j.1468-0297.2011.02482.x</w:t>
      </w:r>
    </w:p>
    <w:p>
      <w:r>
        <w:t>5. Rajan &amp; Subramanian. Aid and Growth: What Does the Cross-Country Evidence Really Show?. Review of Economics and Statistics. 2008. doi:10.5089/9781451861464.001.a001</w:t>
      </w:r>
    </w:p>
    <w:p>
      <w:r>
        <w:t>6. Arndt, Jones &amp; Tarp. Assessing Foreign Aid’s Long-Run Contribution to Growth and Development. World Development. 2015. doi:10.1016/j.worlddev.2013.12.016</w:t>
      </w:r>
    </w:p>
    <w:p>
      <w:r>
        <w:t>7. Minoiu &amp; Reddy. Development Aid and Economic Growth: A Positive Long-Run Relation. Quarterly Review of Economics and Finance. 2010. doi:10.5089/9781451872651.001.a001</w:t>
      </w:r>
    </w:p>
    <w:p>
      <w:r>
        <w:t>8. Doucouliagos &amp; Paldam. The ineffectiveness of development aid on growth: An update. European Journal of Political Economy. 2011. doi:10.1016/j.ejpoleco.2010.11.004</w:t>
      </w:r>
    </w:p>
    <w:p>
      <w:r>
        <w:t>9. Mekasha &amp; Tarp. Aid and Growth: What Meta-Analysis Reveals. The Journal of Development Studies. 2013. doi:10.1080/00220388.2012.709621</w:t>
      </w:r>
    </w:p>
    <w:p>
      <w:r>
        <w:t>10. Alesina &amp; Dollar. Who Gives Foreign Aid to Whom and Why?. Journal of Economic Growth. 2000. doi:10.3386/w6612</w:t>
      </w:r>
    </w:p>
    <w:p>
      <w:r>
        <w:t>11. Kilby &amp; Dreher. The Impact of Aid on Growth Revisited: Do Donor Motives Matter?. SSRN Electronic Journal. 2010. doi:10.2139/ssrn.1402503</w:t>
      </w:r>
    </w:p>
    <w:p>
      <w:r>
        <w:t>12. Feeny &amp; McGillivray. What Determines Bilateral Aid Allocations? Evidence From Time Series Data. Review of Development Economics. 2008. doi:10.1111/j.1467-9361.2008.00443.x</w:t>
      </w:r>
    </w:p>
    <w:p>
      <w:r>
        <w:t>13. Berthelemy &amp; Tichit. Bilateral donors' aid allocation decisions—a three-dimensional panel analysis. International Review of Economics &amp;amp; Finance. 2004. doi:10.1016/j.iref.2003.11.004</w:t>
      </w:r>
    </w:p>
    <w:p>
      <w:r>
        <w:t>14. Boone. Politics and the Effectiveness of Foreign Aid. European Economic Review. 1996. doi:10.3386/w5308</w:t>
      </w:r>
    </w:p>
    <w:p>
      <w:r>
        <w:t>15. Feyzioglu, Swaroop &amp; Zhu. Is Donors' Concern About the Fungibility of Foreign Aid Justified?: A Panel Data Analysis. World Bank Economic Review. 1998. doi:10.2139/ssrn.5035639</w:t>
      </w:r>
    </w:p>
    <w:p>
      <w:r>
        <w:t>16. Devarajan &amp; Swaroop. The Implications of Foreign Aid Fungibility for Development Assistance. Policy Research Working Papers. 1998. doi:10.1596/1813-9450-2022</w:t>
      </w:r>
    </w:p>
    <w:p>
      <w:r>
        <w:t>17. Pettersson. Foreign sectoral aid fungibility, growth and poverty reduction. Journal of International Development. 2007. doi:10.1002/jid.1378</w:t>
      </w:r>
    </w:p>
    <w:p>
      <w:r>
        <w:t>18. Easterly &amp; Pfutze. Where Does the Money Go? Best and Worst Practices in Foreign Aid. Journal of Economic Perspectives. 2008. doi:10.2139/ssrn.1156890</w:t>
      </w:r>
    </w:p>
    <w:p>
      <w:r>
        <w:t>19. Clay, Geddes &amp; Natali. Figure 14.5. Trends in untying aid, 1995-2010. DIIS report. 2009.</w:t>
      </w:r>
    </w:p>
    <w:p>
      <w:r>
        <w:t>20. Jepma. Aid tying: trade and resource allocation effects. The Economics of Aid. 1991.</w:t>
      </w:r>
    </w:p>
    <w:p>
      <w:r>
        <w:t>21. Morrissey &amp; White. EVALUATING THE CONCESSIONALITY OF TIED AID*. The Manchester School. 1996. doi:10.1111/j.1467-9957.1996.tb00481.x</w:t>
      </w:r>
    </w:p>
    <w:p>
      <w:r>
        <w:t>22. Knack. Aid Dependence and the Quality of Governance: A Cross-Country Empirical Analysis. Southern Economic Journal. 2001. doi:10.1596/1813-9450-2396</w:t>
      </w:r>
    </w:p>
    <w:p>
      <w:r>
        <w:t>23. Brautigam &amp; Knack. Foreign Aid, Institutions, and Governance in Sub‐Saharan Africa. Economic Development and Cultural Change. 2004. doi:10.1086/380592</w:t>
      </w:r>
    </w:p>
    <w:p>
      <w:r>
        <w:t>24. Bulir &amp; Hamann. Volatility of Development Aid: From the Frying Pan into the Fire?. World Development. 2008. doi:10.5089/9781451863253.001.a001</w:t>
      </w:r>
    </w:p>
    <w:p>
      <w:r>
        <w:t>25. Fukuda-Parr, Lopes &amp; Malik. Capacity for Development: New Solutions to Old Problems. International Journal of Sustainability in Higher Education. 2002. doi:10.1108/ijshe.2002.24903dae.008</w:t>
      </w:r>
    </w:p>
    <w:p>
      <w:r>
        <w:t>26. Kenny. What Is Effective Aid? How Would Donors Allocate It?. European Journal of Development Research. 2008. doi:10.1596/1813-9450-4005</w:t>
      </w:r>
    </w:p>
    <w:p>
      <w:r>
        <w:t>27. Bourguignon &amp; Sundberg. Aid Effectiveness—Opening the Black Box. American Economic Review. 2007. doi:10.1257/aer.97.2.316</w:t>
      </w:r>
    </w:p>
    <w:p>
      <w:pPr>
        <w:pStyle w:val="Heading1"/>
      </w:pPr>
      <w:r>
        <w:t>Figures (separate files)</w:t>
      </w:r>
    </w:p>
    <w:p>
      <w:pPr>
        <w:pStyle w:val="Heading1"/>
      </w:pPr>
      <w: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Disbursement-weighted aid-type and delivery-channel shares over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nor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Aid-architecture profiles of the top-20 donors by ODA volume.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da_gdp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Distribution of ODA disbursements as a share of recipient GDP.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ef_tc_wind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Technical-cooperation-share coefficients by lag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