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Beyond Aid Volume: Donor Heterogeneity, Aid Architecture, and Medium-Run Development Outcomes</w:t>
      </w:r>
    </w:p>
    <w:p>
      <w:r>
        <w:t>Corresponding author: [AUTHOR NAME — TO COMPLETE]</w:t>
      </w:r>
    </w:p>
    <w:p>
      <w:r>
        <w:t>Affiliation: [AFFILIATION — TO COMPLETE]</w:t>
      </w:r>
    </w:p>
    <w:p>
      <w:r>
        <w:t>Email: [CORRESPONDING AUTHOR EMAIL — TO COMPLETE]</w:t>
      </w:r>
    </w:p>
    <w:p>
      <w:r>
        <w:t>ORCID: [ORCID — TO COMPLETE]</w:t>
      </w:r>
    </w:p>
    <w:p>
      <w:r>
        <w:t>Funding: [FUNDING STATEMENT — TO COMPLETE]</w:t>
      </w:r>
    </w:p>
    <w:p>
      <w:r>
        <w:t>Acknowledgments: [TO COMPLETE OR DELETE]</w:t>
      </w:r>
    </w:p>
    <w:p>
      <w:r>
        <w:t>Declaration of interests: [TO COMPLETE]</w:t>
      </w:r>
    </w:p>
    <w:p/>
    <w:p>
      <w:r>
        <w:t>Data/code: analysis code and dashboard-ready exports available in the project repository [REPOSITORY URL — bougtoir/aid_architecture].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