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Table S2. Endpoint mechanism and interpretation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Endpoint</w:t>
            </w:r>
          </w:p>
        </w:tc>
        <w:tc>
          <w:tcPr>
            <w:tcW w:type="dxa" w:w="2880"/>
          </w:tcPr>
          <w:p>
            <w:r>
              <w:t>Mechanism</w:t>
            </w:r>
          </w:p>
        </w:tc>
        <w:tc>
          <w:tcPr>
            <w:tcW w:type="dxa" w:w="2880"/>
          </w:tcPr>
          <w:p>
            <w:r>
              <w:t>Classification</w:t>
            </w:r>
          </w:p>
        </w:tc>
      </w:tr>
      <w:tr>
        <w:tc>
          <w:tcPr>
            <w:tcW w:type="dxa" w:w="2880"/>
          </w:tcPr>
          <w:p>
            <w:r>
              <w:t>Distance</w:t>
            </w:r>
          </w:p>
        </w:tc>
        <w:tc>
          <w:tcPr>
            <w:tcW w:type="dxa" w:w="2880"/>
          </w:tcPr>
          <w:p>
            <w:r>
              <w:t>Route definition</w:t>
            </w:r>
          </w:p>
        </w:tc>
        <w:tc>
          <w:tcPr>
            <w:tcW w:type="dxa" w:w="2880"/>
          </w:tcPr>
          <w:p>
            <w:r>
              <w:t>Structural</w:t>
            </w:r>
          </w:p>
        </w:tc>
      </w:tr>
      <w:tr>
        <w:tc>
          <w:tcPr>
            <w:tcW w:type="dxa" w:w="2880"/>
          </w:tcPr>
          <w:p>
            <w:r>
              <w:t>Turning</w:t>
            </w:r>
          </w:p>
        </w:tc>
        <w:tc>
          <w:tcPr>
            <w:tcW w:type="dxa" w:w="2880"/>
          </w:tcPr>
          <w:p>
            <w:r>
              <w:t>Route definition</w:t>
            </w:r>
          </w:p>
        </w:tc>
        <w:tc>
          <w:tcPr>
            <w:tcW w:type="dxa" w:w="2880"/>
          </w:tcPr>
          <w:p>
            <w:r>
              <w:t>Structural</w:t>
            </w:r>
          </w:p>
        </w:tc>
      </w:tr>
      <w:tr>
        <w:tc>
          <w:tcPr>
            <w:tcW w:type="dxa" w:w="2880"/>
          </w:tcPr>
          <w:p>
            <w:r>
              <w:t>Movement starts/stops</w:t>
            </w:r>
          </w:p>
        </w:tc>
        <w:tc>
          <w:tcPr>
            <w:tcW w:type="dxa" w:w="2880"/>
          </w:tcPr>
          <w:p>
            <w:r>
              <w:t>Progression/control rule plus congestion</w:t>
            </w:r>
          </w:p>
        </w:tc>
        <w:tc>
          <w:tcPr>
            <w:tcW w:type="dxa" w:w="2880"/>
          </w:tcPr>
          <w:p>
            <w:r>
              <w:t>Model-dependent dynamic</w:t>
            </w:r>
          </w:p>
        </w:tc>
      </w:tr>
      <w:tr>
        <w:tc>
          <w:tcPr>
            <w:tcW w:type="dxa" w:w="2880"/>
          </w:tcPr>
          <w:p>
            <w:r>
              <w:t>Throughput</w:t>
            </w:r>
          </w:p>
        </w:tc>
        <w:tc>
          <w:tcPr>
            <w:tcW w:type="dxa" w:w="2880"/>
          </w:tcPr>
          <w:p>
            <w:r>
              <w:t>Arrival/service/route/control interaction</w:t>
            </w:r>
          </w:p>
        </w:tc>
        <w:tc>
          <w:tcPr>
            <w:tcW w:type="dxa" w:w="2880"/>
          </w:tcPr>
          <w:p>
            <w:r>
              <w:t>Dynamic</w:t>
            </w:r>
          </w:p>
        </w:tc>
      </w:tr>
      <w:tr>
        <w:tc>
          <w:tcPr>
            <w:tcW w:type="dxa" w:w="2880"/>
          </w:tcPr>
          <w:p>
            <w:r>
              <w:t>Waiting</w:t>
            </w:r>
          </w:p>
        </w:tc>
        <w:tc>
          <w:tcPr>
            <w:tcW w:type="dxa" w:w="2880"/>
          </w:tcPr>
          <w:p>
            <w:r>
              <w:t>Arrival/service/route/control interaction</w:t>
            </w:r>
          </w:p>
        </w:tc>
        <w:tc>
          <w:tcPr>
            <w:tcW w:type="dxa" w:w="2880"/>
          </w:tcPr>
          <w:p>
            <w:r>
              <w:t>Dynamic</w:t>
            </w:r>
          </w:p>
        </w:tc>
      </w:tr>
      <w:tr>
        <w:tc>
          <w:tcPr>
            <w:tcW w:type="dxa" w:w="2880"/>
          </w:tcPr>
          <w:p>
            <w:r>
              <w:t>Required waiting area</w:t>
            </w:r>
          </w:p>
        </w:tc>
        <w:tc>
          <w:tcPr>
            <w:tcW w:type="dxa" w:w="2880"/>
          </w:tcPr>
          <w:p>
            <w:r>
              <w:t>Demand plus spatial assumptions</w:t>
            </w:r>
          </w:p>
        </w:tc>
        <w:tc>
          <w:tcPr>
            <w:tcW w:type="dxa" w:w="2880"/>
          </w:tcPr>
          <w:p>
            <w:r>
              <w:t>Conditional engineering outcome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