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1. Reader-facing model parameter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Parameter/group</w:t>
            </w:r>
          </w:p>
        </w:tc>
        <w:tc>
          <w:tcPr>
            <w:tcW w:type="dxa" w:w="2160"/>
          </w:tcPr>
          <w:p>
            <w:r>
              <w:t>Base value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Evidence/type</w:t>
            </w:r>
          </w:p>
        </w:tc>
      </w:tr>
      <w:tr>
        <w:tc>
          <w:tcPr>
            <w:tcW w:type="dxa" w:w="2160"/>
          </w:tcPr>
          <w:p>
            <w:r>
              <w:t>Demand and screening</w:t>
            </w:r>
          </w:p>
        </w:tc>
        <w:tc>
          <w:tcPr>
            <w:tcW w:type="dxa" w:w="2160"/>
          </w:tcPr>
          <w:p>
            <w:r>
              <w:t>420 passengers/h; 3 lanes; 20 s mean service</w:t>
            </w:r>
          </w:p>
        </w:tc>
        <w:tc>
          <w:tcPr>
            <w:tcW w:type="dxa" w:w="2160"/>
          </w:tcPr>
          <w:p>
            <w:r>
              <w:t>120–240 passengers/h/lane</w:t>
            </w:r>
          </w:p>
        </w:tc>
        <w:tc>
          <w:tcPr>
            <w:tcW w:type="dxa" w:w="2160"/>
          </w:tcPr>
          <w:p>
            <w:r>
              <w:t>Synthetic demand; guidance-informed engineering range</w:t>
            </w:r>
          </w:p>
        </w:tc>
      </w:tr>
      <w:tr>
        <w:tc>
          <w:tcPr>
            <w:tcW w:type="dxa" w:w="2160"/>
          </w:tcPr>
          <w:p>
            <w:r>
              <w:t>Walking speed</w:t>
            </w:r>
          </w:p>
        </w:tc>
        <w:tc>
          <w:tcPr>
            <w:tcW w:type="dxa" w:w="2160"/>
          </w:tcPr>
          <w:p>
            <w:r>
              <w:t>1.30 m/s</w:t>
            </w:r>
          </w:p>
        </w:tc>
        <w:tc>
          <w:tcPr>
            <w:tcW w:type="dxa" w:w="2160"/>
          </w:tcPr>
          <w:p>
            <w:r>
              <w:t>1.00–1.60 m/s</w:t>
            </w:r>
          </w:p>
        </w:tc>
        <w:tc>
          <w:tcPr>
            <w:tcW w:type="dxa" w:w="2160"/>
          </w:tcPr>
          <w:p>
            <w:r>
              <w:t>Peer-reviewed airport observations</w:t>
            </w:r>
          </w:p>
        </w:tc>
      </w:tr>
      <w:tr>
        <w:tc>
          <w:tcPr>
            <w:tcW w:type="dxa" w:w="2160"/>
          </w:tcPr>
          <w:p>
            <w:r>
              <w:t>Stop/start timing</w:t>
            </w:r>
          </w:p>
        </w:tc>
        <w:tc>
          <w:tcPr>
            <w:tcW w:type="dxa" w:w="2160"/>
          </w:tcPr>
          <w:p>
            <w:r>
              <w:t>0.39 s startup; 0.48 s reaction; 0.58 s slowdown</w:t>
            </w:r>
          </w:p>
        </w:tc>
        <w:tc>
          <w:tcPr>
            <w:tcW w:type="dxa" w:w="2160"/>
          </w:tcPr>
          <w:p>
            <w:r>
              <w:t>0.20–0.80; 0.20–1.00; 0.20–1.20 s</w:t>
            </w:r>
          </w:p>
        </w:tc>
        <w:tc>
          <w:tcPr>
            <w:tcW w:type="dxa" w:w="2160"/>
          </w:tcPr>
          <w:p>
            <w:r>
              <w:t>Peer-reviewed controlled motion capture</w:t>
            </w:r>
          </w:p>
        </w:tc>
      </w:tr>
      <w:tr>
        <w:tc>
          <w:tcPr>
            <w:tcW w:type="dxa" w:w="2160"/>
          </w:tcPr>
          <w:p>
            <w:r>
              <w:t>Passenger heterogeneity</w:t>
            </w:r>
          </w:p>
        </w:tc>
        <w:tc>
          <w:tcPr>
            <w:tcW w:type="dxa" w:w="2160"/>
          </w:tcPr>
          <w:p>
            <w:r>
              <w:t>0.65 luggage prevalence; 0.04 reduced mobility</w:t>
            </w:r>
          </w:p>
        </w:tc>
        <w:tc>
          <w:tcPr>
            <w:tcW w:type="dxa" w:w="2160"/>
          </w:tcPr>
          <w:p>
            <w:r>
              <w:t>0–1.00; 0–0.20 proportions</w:t>
            </w:r>
          </w:p>
        </w:tc>
        <w:tc>
          <w:tcPr>
            <w:tcW w:type="dxa" w:w="2160"/>
          </w:tcPr>
          <w:p>
            <w:r>
              <w:t>Explicit assumptions; stress tested</w:t>
            </w:r>
          </w:p>
        </w:tc>
      </w:tr>
      <w:tr>
        <w:tc>
          <w:tcPr>
            <w:tcW w:type="dxa" w:w="2160"/>
          </w:tcPr>
          <w:p>
            <w:r>
              <w:t>Luggage space</w:t>
            </w:r>
          </w:p>
        </w:tc>
        <w:tc>
          <w:tcPr>
            <w:tcW w:type="dxa" w:w="2160"/>
          </w:tcPr>
          <w:p>
            <w:r>
              <w:t>0.12 m²/bag</w:t>
            </w:r>
          </w:p>
        </w:tc>
        <w:tc>
          <w:tcPr>
            <w:tcW w:type="dxa" w:w="2160"/>
          </w:tcPr>
          <w:p>
            <w:r>
              <w:t>0.08–0.20 m²/bag</w:t>
            </w:r>
          </w:p>
        </w:tc>
        <w:tc>
          <w:tcPr>
            <w:tcW w:type="dxa" w:w="2160"/>
          </w:tcPr>
          <w:p>
            <w:r>
              <w:t>Literature-informed engineering assumption</w:t>
            </w:r>
          </w:p>
        </w:tc>
      </w:tr>
      <w:tr>
        <w:tc>
          <w:tcPr>
            <w:tcW w:type="dxa" w:w="2160"/>
          </w:tcPr>
          <w:p>
            <w:r>
              <w:t>S3 release rule</w:t>
            </w:r>
          </w:p>
        </w:tc>
        <w:tc>
          <w:tcPr>
            <w:tcW w:type="dxa" w:w="2160"/>
          </w:tcPr>
          <w:p>
            <w:r>
              <w:t>batch 12; threshold 6; maximum hold 120 s</w:t>
            </w:r>
          </w:p>
        </w:tc>
        <w:tc>
          <w:tcPr>
            <w:tcW w:type="dxa" w:w="2160"/>
          </w:tcPr>
          <w:p>
            <w:r>
              <w:t>Prespecified Phase 7 control grid</w:t>
            </w:r>
          </w:p>
        </w:tc>
        <w:tc>
          <w:tcPr>
            <w:tcW w:type="dxa" w:w="2160"/>
          </w:tcPr>
          <w:p>
            <w:r>
              <w:t>Explicit controller design factors</w:t>
            </w:r>
          </w:p>
        </w:tc>
      </w:tr>
      <w:tr>
        <w:tc>
          <w:tcPr>
            <w:tcW w:type="dxa" w:w="2160"/>
          </w:tcPr>
          <w:p>
            <w:r>
              <w:t>Configured routes</w:t>
            </w:r>
          </w:p>
        </w:tc>
        <w:tc>
          <w:tcPr>
            <w:tcW w:type="dxa" w:w="2160"/>
          </w:tcPr>
          <w:p>
            <w:r>
              <w:t>S0 55 m/10 turns; stationary 22 m/2 turns</w:t>
            </w:r>
          </w:p>
        </w:tc>
        <w:tc>
          <w:tcPr>
            <w:tcW w:type="dxa" w:w="2160"/>
          </w:tcPr>
          <w:p>
            <w:r>
              <w:t>Matched short, mid, and long routes</w:t>
            </w:r>
          </w:p>
        </w:tc>
        <w:tc>
          <w:tcPr>
            <w:tcW w:type="dxa" w:w="2160"/>
          </w:tcPr>
          <w:p>
            <w:r>
              <w:t>Structural assumptions; matched-route sensitivity</w:t>
            </w:r>
          </w:p>
        </w:tc>
      </w:tr>
      <w:tr>
        <w:tc>
          <w:tcPr>
            <w:tcW w:type="dxa" w:w="2160"/>
          </w:tcPr>
          <w:p>
            <w:r>
              <w:t>Spatial constraints</w:t>
            </w:r>
          </w:p>
        </w:tc>
        <w:tc>
          <w:tcPr>
            <w:tcW w:type="dxa" w:w="2160"/>
          </w:tcPr>
          <w:p>
            <w:r>
              <w:t>1.20 m route; 1.60 m turning; 1.40 passengers/m²</w:t>
            </w:r>
          </w:p>
        </w:tc>
        <w:tc>
          <w:tcPr>
            <w:tcW w:type="dxa" w:w="2160"/>
          </w:tcPr>
          <w:p>
            <w:r>
              <w:t>minimum 0.915 m route and 1.525 m turning</w:t>
            </w:r>
          </w:p>
        </w:tc>
        <w:tc>
          <w:tcPr>
            <w:tcW w:type="dxa" w:w="2160"/>
          </w:tcPr>
          <w:p>
            <w:r>
              <w:t>Official accessibility minima plus engineering assumptions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