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2. Architectures and control policies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Policy</w:t>
            </w:r>
          </w:p>
        </w:tc>
        <w:tc>
          <w:tcPr>
            <w:tcW w:type="dxa" w:w="2160"/>
          </w:tcPr>
          <w:p>
            <w:r>
              <w:t>Waiting architecture</w:t>
            </w:r>
          </w:p>
        </w:tc>
        <w:tc>
          <w:tcPr>
            <w:tcW w:type="dxa" w:w="2160"/>
          </w:tcPr>
          <w:p>
            <w:r>
              <w:t>Control rule</w:t>
            </w:r>
          </w:p>
        </w:tc>
        <w:tc>
          <w:tcPr>
            <w:tcW w:type="dxa" w:w="2160"/>
          </w:tcPr>
          <w:p>
            <w:r>
              <w:t>Layouts</w:t>
            </w:r>
          </w:p>
        </w:tc>
      </w:tr>
      <w:tr>
        <w:tc>
          <w:tcPr>
            <w:tcW w:type="dxa" w:w="2160"/>
          </w:tcPr>
          <w:p>
            <w:r>
              <w:t>S0</w:t>
            </w:r>
          </w:p>
        </w:tc>
        <w:tc>
          <w:tcPr>
            <w:tcW w:type="dxa" w:w="2160"/>
          </w:tcPr>
          <w:p>
            <w:r>
              <w:t>Conventional switchback</w:t>
            </w:r>
          </w:p>
        </w:tc>
        <w:tc>
          <w:tcPr>
            <w:tcW w:type="dxa" w:w="2160"/>
          </w:tcPr>
          <w:p>
            <w:r>
              <w:t>Continuous/standard release</w:t>
            </w:r>
          </w:p>
        </w:tc>
        <w:tc>
          <w:tcPr>
            <w:tcW w:type="dxa" w:w="2160"/>
          </w:tcPr>
          <w:p>
            <w:r>
              <w:t>B0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Stationary rows</w:t>
            </w:r>
          </w:p>
        </w:tc>
        <w:tc>
          <w:tcPr>
            <w:tcW w:type="dxa" w:w="2160"/>
          </w:tcPr>
          <w:p>
            <w:r>
              <w:t>Full-row batches</w:t>
            </w:r>
          </w:p>
        </w:tc>
        <w:tc>
          <w:tcPr>
            <w:tcW w:type="dxa" w:w="2160"/>
          </w:tcPr>
          <w:p>
            <w:r>
              <w:t>B1–B4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Stationary rows</w:t>
            </w:r>
          </w:p>
        </w:tc>
        <w:tc>
          <w:tcPr>
            <w:tcW w:type="dxa" w:w="2160"/>
          </w:tcPr>
          <w:p>
            <w:r>
              <w:t>Sub-batches</w:t>
            </w:r>
          </w:p>
        </w:tc>
        <w:tc>
          <w:tcPr>
            <w:tcW w:type="dxa" w:w="2160"/>
          </w:tcPr>
          <w:p>
            <w:r>
              <w:t>B1–B4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Stationary rows</w:t>
            </w:r>
          </w:p>
        </w:tc>
        <w:tc>
          <w:tcPr>
            <w:tcW w:type="dxa" w:w="2160"/>
          </w:tcPr>
          <w:p>
            <w:r>
              <w:t>Downstream threshold</w:t>
            </w:r>
          </w:p>
        </w:tc>
        <w:tc>
          <w:tcPr>
            <w:tcW w:type="dxa" w:w="2160"/>
          </w:tcPr>
          <w:p>
            <w:r>
              <w:t>B1–B4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Stationary rows</w:t>
            </w:r>
          </w:p>
        </w:tc>
        <w:tc>
          <w:tcPr>
            <w:tcW w:type="dxa" w:w="2160"/>
          </w:tcPr>
          <w:p>
            <w:r>
              <w:t>Noisy capacity prediction</w:t>
            </w:r>
          </w:p>
        </w:tc>
        <w:tc>
          <w:tcPr>
            <w:tcW w:type="dxa" w:w="2160"/>
          </w:tcPr>
          <w:p>
            <w:r>
              <w:t>B1–B4</w:t>
            </w:r>
          </w:p>
        </w:tc>
      </w:tr>
      <w:tr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Virtual queue benchmark</w:t>
            </w:r>
          </w:p>
        </w:tc>
        <w:tc>
          <w:tcPr>
            <w:tcW w:type="dxa" w:w="2160"/>
          </w:tcPr>
          <w:p>
            <w:r>
              <w:t>Called release</w:t>
            </w:r>
          </w:p>
        </w:tc>
        <w:tc>
          <w:tcPr>
            <w:tcW w:type="dxa" w:w="2160"/>
          </w:tcPr>
          <w:p>
            <w:r>
              <w:t>B3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