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3. Primary paired outcomes and interpretation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Load</w:t>
            </w:r>
          </w:p>
        </w:tc>
        <w:tc>
          <w:tcPr>
            <w:tcW w:type="dxa" w:w="1440"/>
          </w:tcPr>
          <w:p>
            <w:r>
              <w:t>Endpoint</w:t>
            </w:r>
          </w:p>
        </w:tc>
        <w:tc>
          <w:tcPr>
            <w:tcW w:type="dxa" w:w="1440"/>
          </w:tcPr>
          <w:p>
            <w:r>
              <w:t>S0 mean</w:t>
            </w:r>
          </w:p>
        </w:tc>
        <w:tc>
          <w:tcPr>
            <w:tcW w:type="dxa" w:w="1440"/>
          </w:tcPr>
          <w:p>
            <w:r>
              <w:t>S3−S0 difference</w:t>
            </w:r>
          </w:p>
        </w:tc>
        <w:tc>
          <w:tcPr>
            <w:tcW w:type="dxa" w:w="1440"/>
          </w:tcPr>
          <w:p>
            <w:r>
              <w:t>95% paired CI</w:t>
            </w:r>
          </w:p>
        </w:tc>
        <w:tc>
          <w:tcPr>
            <w:tcW w:type="dxa" w:w="1440"/>
          </w:tcPr>
          <w:p>
            <w:r>
              <w:t>Interpretation/criterion</w:t>
            </w:r>
          </w:p>
        </w:tc>
      </w:tr>
      <w:tr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Movement distance (m/passenger)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−33.0</w:t>
            </w:r>
          </w:p>
        </w:tc>
        <w:tc>
          <w:tcPr>
            <w:tcW w:type="dxa" w:w="1440"/>
          </w:tcPr>
          <w:p>
            <w:r>
              <w:t>−33.0 to −33.0</w:t>
            </w:r>
          </w:p>
        </w:tc>
        <w:tc>
          <w:tcPr>
            <w:tcW w:type="dxa" w:w="1440"/>
          </w:tcPr>
          <w:p>
            <w:r>
              <w:t>Structural route contrast</w:t>
            </w:r>
          </w:p>
        </w:tc>
      </w:tr>
      <w:tr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Modeled movement starts (per passenger)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−1.5</w:t>
            </w:r>
          </w:p>
        </w:tc>
        <w:tc>
          <w:tcPr>
            <w:tcW w:type="dxa" w:w="1440"/>
          </w:tcPr>
          <w:p>
            <w:r>
              <w:t>−1.9 to −1.0</w:t>
            </w:r>
          </w:p>
        </w:tc>
        <w:tc>
          <w:tcPr>
            <w:tcW w:type="dxa" w:w="1440"/>
          </w:tcPr>
          <w:p>
            <w:r>
              <w:t>Model-dependent; fewer starts</w:t>
            </w:r>
          </w:p>
        </w:tc>
      </w:tr>
      <w:tr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Cumulative turning (degrees/passenger)</w:t>
            </w:r>
          </w:p>
        </w:tc>
        <w:tc>
          <w:tcPr>
            <w:tcW w:type="dxa" w:w="1440"/>
          </w:tcPr>
          <w:p>
            <w:r>
              <w:t>1800</w:t>
            </w:r>
          </w:p>
        </w:tc>
        <w:tc>
          <w:tcPr>
            <w:tcW w:type="dxa" w:w="1440"/>
          </w:tcPr>
          <w:p>
            <w:r>
              <w:t>−1440</w:t>
            </w:r>
          </w:p>
        </w:tc>
        <w:tc>
          <w:tcPr>
            <w:tcW w:type="dxa" w:w="1440"/>
          </w:tcPr>
          <w:p>
            <w:r>
              <w:t>−1440 to −1440</w:t>
            </w:r>
          </w:p>
        </w:tc>
        <w:tc>
          <w:tcPr>
            <w:tcW w:type="dxa" w:w="1440"/>
          </w:tcPr>
          <w:p>
            <w:r>
              <w:t>Structural route contrast</w:t>
            </w:r>
          </w:p>
        </w:tc>
      </w:tr>
      <w:tr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Required waiting area (m²)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−0.7</w:t>
            </w:r>
          </w:p>
        </w:tc>
        <w:tc>
          <w:tcPr>
            <w:tcW w:type="dxa" w:w="1440"/>
          </w:tcPr>
          <w:p>
            <w:r>
              <w:t>−1.2 to −0.2</w:t>
            </w:r>
          </w:p>
        </w:tc>
        <w:tc>
          <w:tcPr>
            <w:tcW w:type="dxa" w:w="1440"/>
          </w:tcPr>
          <w:p>
            <w:r>
              <w:t>Conditional spatial outcome; lower area</w:t>
            </w:r>
          </w:p>
        </w:tc>
      </w:tr>
      <w:tr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Throughput (passengers/h)</w:t>
            </w:r>
          </w:p>
        </w:tc>
        <w:tc>
          <w:tcPr>
            <w:tcW w:type="dxa" w:w="1440"/>
          </w:tcPr>
          <w:p>
            <w:r>
              <w:t>384.4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3.4 to 4.5</w:t>
            </w:r>
          </w:p>
        </w:tc>
        <w:tc>
          <w:tcPr>
            <w:tcW w:type="dxa" w:w="1440"/>
          </w:tcPr>
          <w:p>
            <w:r>
              <w:t>Safeguard met: lower CI &gt; −2% of S0</w:t>
            </w:r>
          </w:p>
        </w:tc>
      </w:tr>
      <w:tr>
        <w:tc>
          <w:tcPr>
            <w:tcW w:type="dxa" w:w="1440"/>
          </w:tcPr>
          <w:p>
            <w:r>
              <w:t>0.95</w:t>
            </w:r>
          </w:p>
        </w:tc>
        <w:tc>
          <w:tcPr>
            <w:tcW w:type="dxa" w:w="1440"/>
          </w:tcPr>
          <w:p>
            <w:r>
              <w:t>Movement distance (m/passenger)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−33.0</w:t>
            </w:r>
          </w:p>
        </w:tc>
        <w:tc>
          <w:tcPr>
            <w:tcW w:type="dxa" w:w="1440"/>
          </w:tcPr>
          <w:p>
            <w:r>
              <w:t>−33.0 to −33.0</w:t>
            </w:r>
          </w:p>
        </w:tc>
        <w:tc>
          <w:tcPr>
            <w:tcW w:type="dxa" w:w="1440"/>
          </w:tcPr>
          <w:p>
            <w:r>
              <w:t>Structural route contrast</w:t>
            </w:r>
          </w:p>
        </w:tc>
      </w:tr>
      <w:tr>
        <w:tc>
          <w:tcPr>
            <w:tcW w:type="dxa" w:w="1440"/>
          </w:tcPr>
          <w:p>
            <w:r>
              <w:t>0.95</w:t>
            </w:r>
          </w:p>
        </w:tc>
        <w:tc>
          <w:tcPr>
            <w:tcW w:type="dxa" w:w="1440"/>
          </w:tcPr>
          <w:p>
            <w:r>
              <w:t>Modeled movement starts (per passenger)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−6.3</w:t>
            </w:r>
          </w:p>
        </w:tc>
        <w:tc>
          <w:tcPr>
            <w:tcW w:type="dxa" w:w="1440"/>
          </w:tcPr>
          <w:p>
            <w:r>
              <w:t>−7.4 to −5.3</w:t>
            </w:r>
          </w:p>
        </w:tc>
        <w:tc>
          <w:tcPr>
            <w:tcW w:type="dxa" w:w="1440"/>
          </w:tcPr>
          <w:p>
            <w:r>
              <w:t>Model-dependent; fewer starts</w:t>
            </w:r>
          </w:p>
        </w:tc>
      </w:tr>
      <w:tr>
        <w:tc>
          <w:tcPr>
            <w:tcW w:type="dxa" w:w="1440"/>
          </w:tcPr>
          <w:p>
            <w:r>
              <w:t>0.95</w:t>
            </w:r>
          </w:p>
        </w:tc>
        <w:tc>
          <w:tcPr>
            <w:tcW w:type="dxa" w:w="1440"/>
          </w:tcPr>
          <w:p>
            <w:r>
              <w:t>Cumulative turning (degrees/passenger)</w:t>
            </w:r>
          </w:p>
        </w:tc>
        <w:tc>
          <w:tcPr>
            <w:tcW w:type="dxa" w:w="1440"/>
          </w:tcPr>
          <w:p>
            <w:r>
              <w:t>1800</w:t>
            </w:r>
          </w:p>
        </w:tc>
        <w:tc>
          <w:tcPr>
            <w:tcW w:type="dxa" w:w="1440"/>
          </w:tcPr>
          <w:p>
            <w:r>
              <w:t>−1440</w:t>
            </w:r>
          </w:p>
        </w:tc>
        <w:tc>
          <w:tcPr>
            <w:tcW w:type="dxa" w:w="1440"/>
          </w:tcPr>
          <w:p>
            <w:r>
              <w:t>−1440 to −1440</w:t>
            </w:r>
          </w:p>
        </w:tc>
        <w:tc>
          <w:tcPr>
            <w:tcW w:type="dxa" w:w="1440"/>
          </w:tcPr>
          <w:p>
            <w:r>
              <w:t>Structural route contrast</w:t>
            </w:r>
          </w:p>
        </w:tc>
      </w:tr>
      <w:tr>
        <w:tc>
          <w:tcPr>
            <w:tcW w:type="dxa" w:w="1440"/>
          </w:tcPr>
          <w:p>
            <w:r>
              <w:t>0.95</w:t>
            </w:r>
          </w:p>
        </w:tc>
        <w:tc>
          <w:tcPr>
            <w:tcW w:type="dxa" w:w="1440"/>
          </w:tcPr>
          <w:p>
            <w:r>
              <w:t>Required waiting area (m²)</w:t>
            </w:r>
          </w:p>
        </w:tc>
        <w:tc>
          <w:tcPr>
            <w:tcW w:type="dxa" w:w="1440"/>
          </w:tcPr>
          <w:p>
            <w:r>
              <w:t>18.7</w:t>
            </w:r>
          </w:p>
        </w:tc>
        <w:tc>
          <w:tcPr>
            <w:tcW w:type="dxa" w:w="1440"/>
          </w:tcPr>
          <w:p>
            <w:r>
              <w:t>−5.2</w:t>
            </w:r>
          </w:p>
        </w:tc>
        <w:tc>
          <w:tcPr>
            <w:tcW w:type="dxa" w:w="1440"/>
          </w:tcPr>
          <w:p>
            <w:r>
              <w:t>−6.6 to −3.9</w:t>
            </w:r>
          </w:p>
        </w:tc>
        <w:tc>
          <w:tcPr>
            <w:tcW w:type="dxa" w:w="1440"/>
          </w:tcPr>
          <w:p>
            <w:r>
              <w:t>Conditional spatial outcome; lower area</w:t>
            </w:r>
          </w:p>
        </w:tc>
      </w:tr>
      <w:tr>
        <w:tc>
          <w:tcPr>
            <w:tcW w:type="dxa" w:w="1440"/>
          </w:tcPr>
          <w:p>
            <w:r>
              <w:t>0.95</w:t>
            </w:r>
          </w:p>
        </w:tc>
        <w:tc>
          <w:tcPr>
            <w:tcW w:type="dxa" w:w="1440"/>
          </w:tcPr>
          <w:p>
            <w:r>
              <w:t>Throughput (passengers/h)</w:t>
            </w:r>
          </w:p>
        </w:tc>
        <w:tc>
          <w:tcPr>
            <w:tcW w:type="dxa" w:w="1440"/>
          </w:tcPr>
          <w:p>
            <w:r>
              <w:t>418.2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7.0 to 10.0</w:t>
            </w:r>
          </w:p>
        </w:tc>
        <w:tc>
          <w:tcPr>
            <w:tcW w:type="dxa" w:w="1440"/>
          </w:tcPr>
          <w:p>
            <w:r>
              <w:t>Safeguard met: lower CI &gt; −2% of S0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