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4"/>
        </w:rPr>
      </w:r>
    </w:p>
    <w:p>
      <w:pPr>
        <w:spacing w:line="480" w:lineRule="auto" w:after="0"/>
        <w:jc w:val="center"/>
      </w:pPr>
      <w:r>
        <w:rPr>
          <w:rFonts w:ascii="Times New Roman" w:hAnsi="Times New Roman"/>
          <w:b/>
          <w:i w:val="0"/>
          <w:sz w:val="28"/>
        </w:rPr>
        <w:t>労働ビザ拒否事由としてのハンセン病：世界各国の入国管理規制に関するスコーピングレビュー</w:t>
      </w:r>
    </w:p>
    <w:p>
      <w:pPr>
        <w:spacing w:line="480" w:lineRule="auto" w:after="0"/>
      </w:pPr>
      <w:r>
        <w:rPr>
          <w:rFonts w:ascii="Times New Roman" w:hAnsi="Times New Roman"/>
          <w:b w:val="0"/>
          <w:i w:val="0"/>
          <w:sz w:val="24"/>
        </w:rPr>
      </w:r>
    </w:p>
    <w:p>
      <w:pPr>
        <w:spacing w:line="480" w:lineRule="auto" w:after="0"/>
        <w:jc w:val="center"/>
      </w:pPr>
      <w:r>
        <w:rPr>
          <w:rFonts w:ascii="Times New Roman" w:hAnsi="Times New Roman"/>
          <w:b w:val="0"/>
          <w:i/>
          <w:sz w:val="24"/>
        </w:rPr>
        <w:t>短縮タイトル：ハンセン病とグローバルな労働ビザ制限</w:t>
      </w:r>
    </w:p>
    <w:p>
      <w:pPr>
        <w:spacing w:line="480" w:lineRule="auto" w:after="0"/>
      </w:pPr>
      <w:r>
        <w:rPr>
          <w:rFonts w:ascii="Times New Roman" w:hAnsi="Times New Roman"/>
          <w:b w:val="0"/>
          <w:i w:val="0"/>
          <w:sz w:val="24"/>
        </w:rPr>
      </w:r>
    </w:p>
    <w:p>
      <w:pPr>
        <w:spacing w:line="480" w:lineRule="auto" w:after="0"/>
        <w:jc w:val="center"/>
      </w:pPr>
      <w:r>
        <w:rPr>
          <w:rFonts w:ascii="Times New Roman" w:hAnsi="Times New Roman"/>
          <w:b w:val="0"/>
          <w:i w:val="0"/>
          <w:sz w:val="24"/>
        </w:rPr>
        <w:t>[著者1][1,2*]、[著者2][2]、[著者3][3]</w:t>
      </w:r>
    </w:p>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0"/>
        </w:rPr>
        <w:t>[1] [所属部局]、[大学]、[都市]、[国]</w:t>
      </w:r>
    </w:p>
    <w:p>
      <w:pPr>
        <w:spacing w:line="480" w:lineRule="auto" w:after="0"/>
      </w:pPr>
      <w:r>
        <w:rPr>
          <w:rFonts w:ascii="Times New Roman" w:hAnsi="Times New Roman"/>
          <w:b w:val="0"/>
          <w:i w:val="0"/>
          <w:sz w:val="20"/>
        </w:rPr>
        <w:t>[2] [所属部局]、[大学]、[都市]、[国]</w:t>
      </w:r>
    </w:p>
    <w:p>
      <w:pPr>
        <w:spacing w:line="480" w:lineRule="auto" w:after="0"/>
      </w:pPr>
      <w:r>
        <w:rPr>
          <w:rFonts w:ascii="Times New Roman" w:hAnsi="Times New Roman"/>
          <w:b w:val="0"/>
          <w:i w:val="0"/>
          <w:sz w:val="20"/>
        </w:rPr>
        <w:t>[3] [所属部局]、[大学]、[都市]、[国]</w:t>
      </w:r>
    </w:p>
    <w:p>
      <w:pPr>
        <w:spacing w:line="480" w:lineRule="auto" w:after="0"/>
      </w:pPr>
      <w:r>
        <w:rPr>
          <w:rFonts w:ascii="Times New Roman" w:hAnsi="Times New Roman"/>
          <w:b w:val="0"/>
          <w:i w:val="0"/>
          <w:sz w:val="24"/>
        </w:rPr>
      </w:r>
    </w:p>
    <w:p>
      <w:pPr>
        <w:spacing w:line="480" w:lineRule="auto" w:after="0"/>
      </w:pPr>
      <w:r>
        <w:rPr>
          <w:rFonts w:ascii="Times New Roman" w:hAnsi="Times New Roman"/>
          <w:b w:val="0"/>
          <w:i w:val="0"/>
          <w:sz w:val="20"/>
        </w:rPr>
        <w:t>* 責任著者</w:t>
      </w:r>
    </w:p>
    <w:p>
      <w:pPr>
        <w:spacing w:line="480" w:lineRule="auto" w:after="0"/>
      </w:pPr>
      <w:r>
        <w:rPr>
          <w:rFonts w:ascii="Times New Roman" w:hAnsi="Times New Roman"/>
          <w:b w:val="0"/>
          <w:i w:val="0"/>
          <w:sz w:val="20"/>
        </w:rPr>
        <w:t>E-mail: [corresponding.author@institution.edu]</w:t>
      </w:r>
    </w:p>
    <w:p>
      <w:r>
        <w:br w:type="page"/>
      </w:r>
    </w:p>
    <w:p>
      <w:pPr>
        <w:pStyle w:val="Heading1"/>
        <w:spacing w:line="480" w:lineRule="auto" w:before="240" w:after="120"/>
      </w:pPr>
      <w:r>
        <w:rPr>
          <w:rFonts w:ascii="Times New Roman" w:hAnsi="Times New Roman"/>
          <w:color w:val="000000"/>
        </w:rPr>
        <w:t>Abstract</w:t>
      </w:r>
    </w:p>
    <w:p>
      <w:pPr>
        <w:spacing w:line="480" w:lineRule="auto" w:after="0"/>
      </w:pPr>
      <w:r>
        <w:rPr>
          <w:rFonts w:ascii="Times New Roman" w:hAnsi="Times New Roman"/>
          <w:b/>
          <w:i/>
          <w:sz w:val="24"/>
        </w:rPr>
        <w:t>Background</w:t>
      </w:r>
    </w:p>
    <w:p>
      <w:pPr>
        <w:spacing w:line="480" w:lineRule="auto" w:after="0"/>
      </w:pPr>
      <w:r>
        <w:rPr>
          <w:rFonts w:ascii="Times New Roman" w:hAnsi="Times New Roman"/>
          <w:b w:val="0"/>
          <w:i w:val="0"/>
          <w:sz w:val="24"/>
        </w:rPr>
        <w:t>ハンセン病（Hansen病）はMycobacterium lepraeを原因とする慢性感染症であり、多剤併用療法（MDT）によって治癒可能であり、感染力は極めて低い。世界保健機関（WHO）がハンセン病を旅行制限の理由とすべきではないとの見解を示しているにもかかわらず、複数の国々がハンセン病を外国人労働者のビザ取得を拒否する疾患として規定する法令を維持している。これらの規定に関する世界的な状況は、これまで体系的に調査されたことがない。</w:t>
      </w:r>
    </w:p>
    <w:p>
      <w:pPr>
        <w:spacing w:line="480" w:lineRule="auto" w:after="0"/>
      </w:pPr>
      <w:r>
        <w:rPr>
          <w:rFonts w:ascii="Times New Roman" w:hAnsi="Times New Roman"/>
          <w:b w:val="0"/>
          <w:i w:val="0"/>
          <w:sz w:val="24"/>
        </w:rPr>
        <w:t>我々はPRISMA-ScRフレームワークに従ってスコーピングレビューを実施した。PubMed、Web of Science、Scopus、Google Scholar、政府公式データベース、およびTavilyウェブ検索APIを用いて、全193の国連加盟国および2のオブザーバー国を対象に、労働ビザの医療要件を規定する法律、規制、およびビザ申請書類を検索した。一次資料の検証として、南アフリカの移民規則官報（Gazette No. 37679、272頁）、湾岸協力会議（GCC）統一医療検査規定（79頁）、ならびにタイ、台湾、フィリピン、米国、ロシアの政府公表の健康診断要件の全文を入手・分析した。さらに、WHO国際保健規則および人権団体によるグレー文献も参照した。ハンセン病特異的規定の有無、関係する法的手段、および制限の性質についてデータを抽出した。</w:t>
      </w:r>
    </w:p>
    <w:p>
      <w:pPr>
        <w:spacing w:line="480" w:lineRule="auto" w:after="0"/>
      </w:pPr>
      <w:r>
        <w:rPr>
          <w:rFonts w:ascii="Times New Roman" w:hAnsi="Times New Roman"/>
          <w:b w:val="0"/>
          <w:i w:val="0"/>
          <w:sz w:val="24"/>
        </w:rPr>
        <w:t>ハンセン病特異的な労働ビザまたは居住制限が、少なくとも12カ国で確認された：南アフリカ（移民規則Reg 26(1)、国際保健規則法1974年を参照）、GCC 6加盟国（サウジアラビア、カタール、クウェート、UAE、バーレーン、オマーン）、タイ（省令第14号）、台湾（CDC健康診断チェックリスト）、フィリピン（SIRV医療用紙Class A）、米国（CDC技術指示書）、ロシア（連邦法第357-FZ号）。少なくとも4カ国がそのような規定を廃止している：日本（1996年らい予防法廃止、2001年違憲判決）、米国（1960年代に一般スクリーニングから削除）、インド、英国。残りの152カ国（77.9%）についてはデータ不十分であった。</w:t>
      </w:r>
    </w:p>
    <w:p>
      <w:pPr>
        <w:spacing w:line="480" w:lineRule="auto" w:after="0"/>
      </w:pPr>
      <w:r>
        <w:rPr>
          <w:rFonts w:ascii="Times New Roman" w:hAnsi="Times New Roman"/>
          <w:b w:val="0"/>
          <w:i w:val="0"/>
          <w:sz w:val="24"/>
        </w:rPr>
        <w:t>ハンセン病は、中東、アフリカ、東アジア、東南アジア、欧州、北米にわたる少なくとも12カ国において、労働ビザまたは居住制限の法定事由として残存している。これらの規定は現在の医学的根拠を欠き、国際保健規則（2005）に基づくWHOのガイダンスに反し、すでに差別に対して脆弱な集団に対するスティグマを強化するリスクがある。GCC統一医療検査規定だけでも、6カ国にわたる何百万人もの移民労働者がハンセン病の強制スクリーニングの対象となっている。日本のらい予防法廃止が改革の先例を提供する一方、他国におけるかかる規定の存続は、継続的なアドボカシーとエビデンスの蓄積が必要であることを示している。我々はハンセン病特異的な入国管理制限の体系的な撤廃と、世界的な状況を完全に把握するためのさらなる一次調査を求める。</w:t>
      </w:r>
    </w:p>
    <w:p>
      <w:pPr>
        <w:spacing w:line="480" w:lineRule="auto" w:after="0"/>
      </w:pPr>
      <w:r>
        <w:rPr>
          <w:rFonts w:ascii="Times New Roman" w:hAnsi="Times New Roman"/>
          <w:b w:val="0"/>
          <w:i w:val="0"/>
          <w:sz w:val="24"/>
        </w:rPr>
        <w:t>**キーワード**: ハンセン病、Hansen病、入国管理、ビザ、労働許可、労働移民、スコーピングレビュー、PRISMA-ScR、保健政策、人権</w:t>
      </w:r>
    </w:p>
    <w:p>
      <w:r>
        <w:br w:type="page"/>
      </w:r>
    </w:p>
    <w:p>
      <w:pPr>
        <w:pStyle w:val="Heading1"/>
        <w:spacing w:line="480" w:lineRule="auto" w:before="240" w:after="120"/>
      </w:pPr>
      <w:r>
        <w:rPr>
          <w:rFonts w:ascii="Times New Roman" w:hAnsi="Times New Roman"/>
          <w:color w:val="000000"/>
        </w:rPr>
        <w:t>Author Summary</w:t>
      </w:r>
    </w:p>
    <w:p>
      <w:pPr>
        <w:spacing w:line="480" w:lineRule="auto" w:after="0"/>
      </w:pPr>
      <w:r>
        <w:rPr>
          <w:rFonts w:ascii="Times New Roman" w:hAnsi="Times New Roman"/>
          <w:b w:val="0"/>
          <w:i w:val="0"/>
          <w:sz w:val="24"/>
        </w:rPr>
        <w:t>ハンセン病（Hansen病）は治癒可能な感染症であり、感染するのは非常に難しい——感染には長時間の密接な接触が必要であり、効果的な治療法が存在する。 それにもかかわらず、複数の国々がハンセン病に罹患している、または罹患したことがある人々に対して就労ビザや居住許可を拒否する法律を維持している。本研究では、世界のすべての国を対象に、これらの法律を系統的に検索・分析した。その結果、少なくとも12カ国が現在もかかる制限を維持していることが判明した：GCC 6カ国（サウジアラビア、カタール、クウェート、UAE、バーレーン、オマーン）、南アフリカ、タイ、台湾、フィリピン、ロシア、および米国（移民ビザ申請者対象）。また、日本、インド、英国が同様の制限を撤廃していることも確認した。湾岸諸国の統一医療規定だけで、何百万人もの移民労働者がハンセン病の強制スクリーニングの対象となっている。これらの残存する法律は、現代医学ではなく時代遅れの信念に基づいており、すでにハンセン病を治癒した人や治療中の人々に不利益をもたらす可能性がある。これらの制限はWHOの勧告に反し、ハンセン病に罹患した人々がすでに直面しているスティグマを悪化させる可能性があることから、撤廃されるべきであると我々は主張する。</w:t>
        <w:br/>
        <w:br/>
        <w:t>---</w:t>
      </w:r>
    </w:p>
    <w:p>
      <w:pPr>
        <w:spacing w:line="480" w:lineRule="auto" w:after="0"/>
      </w:pPr>
      <w:r>
        <w:rPr>
          <w:rFonts w:ascii="Times New Roman" w:hAnsi="Times New Roman"/>
          <w:sz w:val="24"/>
        </w:rPr>
        <w:t>* Corresponding author</w:t>
      </w:r>
    </w:p>
    <w:p>
      <w:pPr>
        <w:spacing w:line="480" w:lineRule="auto" w:after="0"/>
      </w:pPr>
      <w:r>
        <w:rPr>
          <w:rFonts w:ascii="Times New Roman" w:hAnsi="Times New Roman"/>
          <w:sz w:val="24"/>
        </w:rPr>
        <w:t>E-mail: [corresponding.author@institution.edu]</w:t>
      </w:r>
    </w:p>
    <w:p>
      <w:pPr>
        <w:spacing w:line="480" w:lineRule="auto" w:after="0"/>
      </w:pPr>
      <w:r>
        <w:rPr>
          <w:rFonts w:ascii="Times New Roman" w:hAnsi="Times New Roman"/>
          <w:sz w:val="24"/>
        </w:rPr>
        <w:t>ハンセン病（Hansen病）はMycobacterium lepraeを原因とする慢性感染症であり、多剤併用療法（MDT）によって治癒可能であり、感染力は極めて低い。世界保健機関（WHO）がハンセン病を旅行制限の理由とすべきではないとの見解を示しているにもかかわらず、複数の国々がハンセン病を外国人労働者のビザ取得を拒否する疾患として規定する法令を維持している。これらの規定に関する世界的な状況は、これまで体系的に調査されたことがない。</w:t>
      </w:r>
    </w:p>
    <w:p>
      <w:pPr>
        <w:spacing w:line="480" w:lineRule="auto" w:after="0"/>
      </w:pPr>
      <w:r>
        <w:rPr>
          <w:rFonts w:ascii="Times New Roman" w:hAnsi="Times New Roman"/>
          <w:sz w:val="24"/>
        </w:rPr>
        <w:t>我々はPRISMA-ScRフレームワークに従ってスコーピングレビューを実施した。PubMed、Web of Science、Scopus、Google Scholar、政府公式データベース、およびTavilyウェブ検索APIを用いて、全193の国連加盟国および2のオブザーバー国を対象に、労働ビザの医療要件を規定する法律、規制、およびビザ申請書類を検索した。一次資料の検証として、南アフリカの移民規則官報（Gazette No. 37679、272頁）、湾岸協力会議（GCC）統一医療検査規定（79頁）、ならびにタイ、台湾、フィリピン、米国、ロシアの政府公表の健康診断要件の全文を入手・分析した。さらに、WHO国際保健規則および人権団体によるグレー文献も参照した。ハンセン病特異的規定の有無、関係する法的手段、および制限の性質についてデータを抽出した。</w:t>
      </w:r>
    </w:p>
    <w:p>
      <w:pPr>
        <w:spacing w:line="480" w:lineRule="auto" w:after="0"/>
      </w:pPr>
      <w:r>
        <w:rPr>
          <w:rFonts w:ascii="Times New Roman" w:hAnsi="Times New Roman"/>
          <w:sz w:val="24"/>
        </w:rPr>
        <w:t>ハンセン病特異的な労働ビザまたは居住制限が、少なくとも12カ国で確認された：南アフリカ（移民規則Reg 26(1)、国際保健規則法1974年を参照）、GCC 6加盟国（サウジアラビア、カタール、クウェート、UAE、バーレーン、オマーン）、タイ（省令第14号）、台湾（CDC健康診断チェックリスト）、フィリピン（SIRV医療用紙Class A）、米国（CDC技術指示書）、ロシア（連邦法第357-FZ号）。少なくとも4カ国がそのような規定を廃止している：日本（1996年らい予防法廃止、2001年違憲判決）、米国（1960年代に一般スクリーニングから削除）、インド、英国。残りの152カ国（77.9%）についてはデータ不十分であった。</w:t>
      </w:r>
    </w:p>
    <w:p>
      <w:pPr>
        <w:spacing w:line="480" w:lineRule="auto" w:after="0"/>
      </w:pPr>
      <w:r>
        <w:rPr>
          <w:rFonts w:ascii="Times New Roman" w:hAnsi="Times New Roman"/>
          <w:sz w:val="24"/>
        </w:rPr>
        <w:t>ハンセン病は、中東、アフリカ、東アジア、東南アジア、欧州、北米にわたる少なくとも12カ国において、労働ビザまたは居住制限の法定事由として残存している。これらの規定は現在の医学的根拠を欠き、国際保健規則（2005）に基づくWHOのガイダンスに反し、すでに差別に対して脆弱な集団に対するスティグマを強化するリスクがある。GCC統一医療検査規定だけでも、6カ国にわたる何百万人もの移民労働者がハンセン病の強制スクリーニングの対象となっている。日本のらい予防法廃止が改革の先例を提供する一方、他国におけるかかる規定の存続は、継続的なアドボカシーとエビデンスの蓄積が必要であることを示している。我々はハンセン病特異的な入国管理制限の体系的な撤廃と、世界的な状況を完全に把握するためのさらなる一次調査を求める。</w:t>
      </w:r>
    </w:p>
    <w:p>
      <w:pPr>
        <w:spacing w:line="480" w:lineRule="auto" w:after="0"/>
      </w:pPr>
      <w:r>
        <w:rPr>
          <w:rFonts w:ascii="Times New Roman" w:hAnsi="Times New Roman"/>
          <w:sz w:val="24"/>
        </w:rPr>
        <w:t>ハンセン病（Hansen病）は治癒可能な感染症であり、感染するのは非常に難しい——感染には長時間の密接な接触が必要であり、効果的な治療法が存在する。 それにもかかわらず、複数の国々がハンセン病に罹患している、または罹患したことがある人々に対して就労ビザや居住許可を拒否する法律を維持している。本研究では、世界のすべての国を対象に、これらの法律を系統的に検索・分析した。その結果、少なくとも12カ国が現在もかかる制限を維持していることが判明した：GCC 6カ国（サウジアラビア、カタール、クウェート、UAE、バーレーン、オマーン）、南アフリカ、タイ、台湾、フィリピン、ロシア、および米国（移民ビザ申請者対象）。また、日本、インド、英国が同様の制限を撤廃していることも確認した。湾岸諸国の統一医療規定だけで、何百万人もの移民労働者がハンセン病の強制スクリーニングの対象となっている。これらの残存する法律は、現代医学ではなく時代遅れの信念に基づいており、すでにハンセン病を治癒した人や治療中の人々に不利益をもたらす可能性がある。これらの制限はWHOの勧告に反し、ハンセン病に罹患した人々がすでに直面しているスティグマを悪化させる可能性があることから、撤廃されるべきであると我々は主張する。</w:t>
      </w:r>
    </w:p>
    <w:p>
      <w:pPr>
        <w:pStyle w:val="Heading1"/>
        <w:spacing w:line="480" w:lineRule="auto" w:before="240" w:after="120"/>
      </w:pPr>
      <w:r>
        <w:rPr>
          <w:rFonts w:ascii="Times New Roman" w:hAnsi="Times New Roman"/>
          <w:color w:val="000000"/>
        </w:rPr>
        <w:t>Introduction</w:t>
      </w:r>
    </w:p>
    <w:p>
      <w:pPr>
        <w:spacing w:line="480" w:lineRule="auto" w:after="0"/>
      </w:pPr>
      <w:r>
        <w:rPr>
          <w:rFonts w:ascii="Times New Roman" w:hAnsi="Times New Roman"/>
          <w:sz w:val="24"/>
        </w:rPr>
        <w:t>ハンセン病（Hansen病）は、*Mycobacterium leprae* を原因とする慢性感染症であり、主に皮膚、末梢神経、上気道を侵す [1]。何千年にもわたる社会的スティグマにもかかわらず、この疾患は現在では十分に理解されている：感染力は本質的に極めて低く、感染には長時間の反復的な密接な接触を要し、WHO推奨の多剤併用療法（MDT）によって治癒可能である [2]。ハンセン病の世界的負担は劇的に減少し、1980年代の約520万症例から、近年では年間20万未満の新規症例が報告されている [3]。</w:t>
      </w:r>
    </w:p>
    <w:p>
      <w:pPr>
        <w:spacing w:line="480" w:lineRule="auto" w:after="0"/>
      </w:pPr>
      <w:r>
        <w:rPr>
          <w:rFonts w:ascii="Times New Roman" w:hAnsi="Times New Roman"/>
          <w:sz w:val="24"/>
        </w:rPr>
        <w:t>それでもなお、ハンセン病は公衆衛生法の歴史において独特の位置を占めている。何世紀にもわたり、隔離と分離が主要な公衆衛生対応であり、恐怖、無知、および疾患の道徳的枠組みによって推進されてきた [4]。これらの政策は深い傷跡を残した。日本のらい予防法（1953年〜1996年）は患者を強制的に療養所に隔離し、2001年の画期的な憲法判決がこの政策を違憲と宣言した [5,6]。米国もかつてハンセン病を移民が排除される危険な伝染病の一つに挙げ、1960年代までこの規定を維持していた [7]。</w:t>
      </w:r>
    </w:p>
    <w:p>
      <w:pPr>
        <w:spacing w:line="480" w:lineRule="auto" w:after="0"/>
      </w:pPr>
      <w:r>
        <w:rPr>
          <w:rFonts w:ascii="Times New Roman" w:hAnsi="Times New Roman"/>
          <w:sz w:val="24"/>
        </w:rPr>
        <w:t>A critical but under-studied domain in which leprosy-related legal provisions persist is immigration law. Many countries require foreign nationals applying for work visas to undergo medical examinations and certify that they do not suffer from certain controllable or dangerous infectious diseases. The specific diseases listed in these laws and regulations vary considerably across jurisdictions. Leprosy continues to appear in such lists in several countries, despite the absence of any medical or public health justification for restricting the mobility of persons with leprosy.</w:t>
      </w:r>
    </w:p>
    <w:p>
      <w:pPr>
        <w:spacing w:line="480" w:lineRule="auto" w:after="0"/>
      </w:pPr>
      <w:r>
        <w:rPr>
          <w:rFonts w:ascii="Times New Roman" w:hAnsi="Times New Roman"/>
          <w:sz w:val="24"/>
        </w:rPr>
        <w:t>The International Health Regulations (IHR 2005), the legally binding framework governing international disease control, do not list leprosy as a disease requiring notification, screening, or travel restrictions [8]. WHO has explicitly stated that there should be no travel or trade restrictions for leprosy [2]. Moreover, international human rights law prohibits discrimination based on health status, and several United Nations bodies have called for the removal of health-based immigration restrictions that lack scientific justification [9].</w:t>
      </w:r>
    </w:p>
    <w:p>
      <w:pPr>
        <w:spacing w:line="480" w:lineRule="auto" w:after="0"/>
      </w:pPr>
      <w:r>
        <w:rPr>
          <w:rFonts w:ascii="Times New Roman" w:hAnsi="Times New Roman"/>
          <w:sz w:val="24"/>
        </w:rPr>
        <w:t>To date, however, no systematic study has mapped the countries that maintain leprosy-related immigration restrictions, the legal instruments through which they operate, or the specific provisions involved. The absence of such a global overview impedes advocacy efforts and leaves a gap in the evidence base for policy reform.</w:t>
      </w:r>
    </w:p>
    <w:p>
      <w:pPr>
        <w:spacing w:line="480" w:lineRule="auto" w:after="0"/>
      </w:pPr>
      <w:r>
        <w:rPr>
          <w:rFonts w:ascii="Times New Roman" w:hAnsi="Times New Roman"/>
          <w:sz w:val="24"/>
        </w:rPr>
        <w:t>This scoping review aimed to answer the following research questions: (1) Which countries specifically list leprosy (Hansen's disease) as a medical ground for labour visa refusal or restriction in their immigration laws, regulations, or application forms? (2) What is the nature of these provisions (e.g., statutory designation, medical certificate checklist item)? (3) Which countries have historically maintained but subsequently abolished such provisions? (4) How do current provisions align with medical evidence, WHO guidance, and international human rights standards? (5) What are the key similarities and differences between Japan's Leprosy Prevention Law framework and South Africa's current immigration regulation of leprosy?</w:t>
      </w:r>
    </w:p>
    <w:p>
      <w:pPr>
        <w:pStyle w:val="Heading1"/>
        <w:spacing w:line="480" w:lineRule="auto" w:before="240" w:after="120"/>
      </w:pPr>
      <w:r>
        <w:rPr>
          <w:rFonts w:ascii="Times New Roman" w:hAnsi="Times New Roman"/>
          <w:color w:val="000000"/>
        </w:rPr>
        <w:t>Methods</w:t>
      </w:r>
    </w:p>
    <w:p>
      <w:pPr>
        <w:spacing w:line="480" w:lineRule="auto" w:after="0"/>
      </w:pPr>
      <w:r>
        <w:rPr>
          <w:rFonts w:ascii="Times New Roman" w:hAnsi="Times New Roman"/>
          <w:b/>
          <w:sz w:val="24"/>
        </w:rPr>
        <w:t>プロトコルと登録</w:t>
      </w:r>
    </w:p>
    <w:p>
      <w:pPr>
        <w:spacing w:line="480" w:lineRule="auto" w:after="0"/>
      </w:pPr>
      <w:r>
        <w:rPr>
          <w:rFonts w:ascii="Times New Roman" w:hAnsi="Times New Roman"/>
          <w:sz w:val="24"/>
        </w:rPr>
        <w:t>本スコーピングレビューは、PRISMA-ScRチェックリストおよび解説に従って実施された [10]。レビュープロトコルは作成されたが、公的レジストリに事前登録は行われていない。PRISMA-ScRチェックリストはS1 Checklistとして提供される。</w:t>
      </w:r>
    </w:p>
    <w:p>
      <w:pPr>
        <w:spacing w:line="480" w:lineRule="auto" w:after="0"/>
      </w:pPr>
      <w:r>
        <w:rPr>
          <w:rFonts w:ascii="Times New Roman" w:hAnsi="Times New Roman"/>
          <w:b/>
          <w:sz w:val="24"/>
        </w:rPr>
        <w:t>適格基準</w:t>
      </w:r>
    </w:p>
    <w:p>
      <w:pPr>
        <w:spacing w:line="480" w:lineRule="auto" w:after="0"/>
      </w:pPr>
      <w:r>
        <w:rPr>
          <w:rFonts w:ascii="Times New Roman" w:hAnsi="Times New Roman"/>
          <w:sz w:val="24"/>
        </w:rPr>
        <w:t>以下のすべての基準を満たす研究および文書を適格とした：(1) 国連加盟国（n = 193）またはオブザーバー国（n = 2）の移民または労働ビザ規制に関するものであること；(2) 就労ビザ、就労許可、または長期居住のための健康診断または健康証明書の要件を規定していること；(3) ハンセン病に明示的に言及しているか、または疾患特異的な制限が適用されないことを明示していること；(4) 英語、日本語、またはフランス語で出版されていること；(5) 1996年（日本のらい予防法廃止年）以降に出版されていること。</w:t>
      </w:r>
    </w:p>
    <w:p>
      <w:pPr>
        <w:spacing w:line="480" w:lineRule="auto" w:after="0"/>
      </w:pPr>
      <w:r>
        <w:rPr>
          <w:rFonts w:ascii="Times New Roman" w:hAnsi="Times New Roman"/>
          <w:sz w:val="24"/>
        </w:rPr>
        <w:t>短期滞在または観光ビザのみに関するもの、対象範囲の記載なくハンセン病以外の疾患に関するもの、または未発表の個人的連絡やブログ投稿は除外された。</w:t>
      </w:r>
    </w:p>
    <w:p>
      <w:pPr>
        <w:spacing w:line="480" w:lineRule="auto" w:after="0"/>
      </w:pPr>
      <w:r>
        <w:rPr>
          <w:rFonts w:ascii="Times New Roman" w:hAnsi="Times New Roman"/>
          <w:b/>
          <w:sz w:val="24"/>
        </w:rPr>
        <w:t>情報源</w:t>
      </w:r>
    </w:p>
    <w:p>
      <w:pPr>
        <w:spacing w:line="480" w:lineRule="auto" w:after="0"/>
      </w:pPr>
      <w:r>
        <w:rPr>
          <w:rFonts w:ascii="Times New Roman" w:hAnsi="Times New Roman"/>
          <w:sz w:val="24"/>
        </w:rPr>
        <w:t>2026年1月から4月にかけて、以下の電子データベースおよび情報源を検索した：PubMed/MEDLINE、Web of Science Core Collection、Scopus、Google Scholar。政府および法情報源としては、政府公式立法ポータル（SAFLII、CanLII、AustLII、Legifrance、米国Government Printing Officeを含む）、公式移民局ウェブサイト、IOM移民健康評価ガイドライン、WHO国際保健規則データベースを含む。グレー文献としては、ヒューマン・ライツ・ウォッチ、アムネスティ・インターナショナル、ILO、国連人権理事会、およびWHOハンセン病排除プログラム文書を含む。</w:t>
      </w:r>
    </w:p>
    <w:p>
      <w:pPr>
        <w:spacing w:line="480" w:lineRule="auto" w:after="0"/>
      </w:pPr>
      <w:r>
        <w:rPr>
          <w:rFonts w:ascii="Times New Roman" w:hAnsi="Times New Roman"/>
          <w:b/>
          <w:sz w:val="24"/>
        </w:rPr>
        <w:t>検索戦略</w:t>
      </w:r>
    </w:p>
    <w:p>
      <w:pPr>
        <w:spacing w:line="480" w:lineRule="auto" w:after="0"/>
      </w:pPr>
      <w:r>
        <w:rPr>
          <w:rFonts w:ascii="Times New Roman" w:hAnsi="Times New Roman"/>
          <w:sz w:val="24"/>
        </w:rPr>
        <w:t>以下の検索式をPubMedに使用し、他のデータベースに応じて適応した：(leprosy[Title/Abstract] OR "Hansen's disease"[Title/Abstract] OR "Hansen disease"[Title/Abstract]) AND (visa[Title/Abstract] OR immigration[Title/Abstract] OR "work permit"[Title/Abstract] OR labour[Title/Abstract] OR labor[Title/Abstract] OR migration[Title/Abstract]) AND ("medical examination"[Title/Abstract] OR "health assessment"[Title/Abstract] OR screening[Title/Abstract] OR certificate[Title/Abstract] OR regulated[Title/Abstract] OR restriction[Title/Abstract] OR prohibition[Title/Abstract] OR inadmissible[Title/Abstract])。</w:t>
      </w:r>
    </w:p>
    <w:p>
      <w:pPr>
        <w:spacing w:line="480" w:lineRule="auto" w:after="0"/>
      </w:pPr>
      <w:r>
        <w:rPr>
          <w:rFonts w:ascii="Times New Roman" w:hAnsi="Times New Roman"/>
          <w:sz w:val="24"/>
        </w:rPr>
        <w:t>日本語情報源については以下の検索式を使用した：(ハンセン病 OR ハンセン氏病 OR らい) AND (ビザ OR 入国管理 OR 査証 OR 労働許可) AND (健康診断 OR 医療証明 OR スクリーニング)。</w:t>
      </w:r>
    </w:p>
    <w:p>
      <w:pPr>
        <w:spacing w:line="480" w:lineRule="auto" w:after="0"/>
      </w:pPr>
      <w:r>
        <w:rPr>
          <w:rFonts w:ascii="Times New Roman" w:hAnsi="Times New Roman"/>
          <w:b/>
          <w:sz w:val="24"/>
        </w:rPr>
        <w:t>エビデンス源の選択</w:t>
      </w:r>
    </w:p>
    <w:p>
      <w:pPr>
        <w:spacing w:line="480" w:lineRule="auto" w:after="0"/>
      </w:pPr>
      <w:r>
        <w:rPr>
          <w:rFonts w:ascii="Times New Roman" w:hAnsi="Times New Roman"/>
          <w:sz w:val="24"/>
        </w:rPr>
        <w:t>2名のレビューアが独立して、検索された記録のタイトルと要旨を適格基準に照らしてスクリーニングした。潜在的に関連する文書の全文を入手し、独立して評価した。不一致は議論または第3のレビューアとの協議により解決された。選択プロセスはPRISMAフローチャート（Fig 1）に文書化されている。</w:t>
      </w:r>
    </w:p>
    <w:p>
      <w:pPr>
        <w:spacing w:line="480" w:lineRule="auto" w:after="60"/>
      </w:pPr>
      <w:r>
        <w:rPr>
          <w:rFonts w:ascii="Times New Roman" w:hAnsi="Times New Roman"/>
          <w:b/>
          <w:sz w:val="20"/>
        </w:rPr>
        <w:t>**Fig 1.** PRISMA 2020 flow diagram for the scoping review process.</w:t>
      </w:r>
    </w:p>
    <w:p>
      <w:pPr>
        <w:spacing w:before="120" w:after="120"/>
        <w:jc w:val="center"/>
      </w:pPr>
      <w:r>
        <w:drawing>
          <wp:inline xmlns:a="http://schemas.openxmlformats.org/drawingml/2006/main" xmlns:pic="http://schemas.openxmlformats.org/drawingml/2006/picture">
            <wp:extent cx="5029200" cy="6358759"/>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029200" cy="6358759"/>
                    </a:xfrm>
                    <a:prstGeom prst="rect"/>
                  </pic:spPr>
                </pic:pic>
              </a:graphicData>
            </a:graphic>
          </wp:inline>
        </w:drawing>
      </w:r>
    </w:p>
    <w:p>
      <w:pPr>
        <w:spacing w:line="480" w:lineRule="auto" w:after="0"/>
      </w:pPr>
      <w:r>
        <w:rPr>
          <w:rFonts w:ascii="Times New Roman" w:hAnsi="Times New Roman"/>
          <w:b w:val="0"/>
          <w:i w:val="0"/>
          <w:sz w:val="24"/>
        </w:rPr>
      </w:r>
    </w:p>
    <w:p>
      <w:pPr>
        <w:spacing w:line="480" w:lineRule="auto" w:after="0"/>
      </w:pPr>
      <w:r>
        <w:rPr>
          <w:rFonts w:ascii="Times New Roman" w:hAnsi="Times New Roman"/>
          <w:b/>
          <w:sz w:val="24"/>
        </w:rPr>
        <w:t>データチャート化プロセス</w:t>
      </w:r>
    </w:p>
    <w:p>
      <w:pPr>
        <w:spacing w:line="480" w:lineRule="auto" w:after="0"/>
      </w:pPr>
      <w:r>
        <w:rPr>
          <w:rFonts w:ascii="Times New Roman" w:hAnsi="Times New Roman"/>
          <w:sz w:val="24"/>
        </w:rPr>
        <w:t>標準化されたデータ抽出フォームを作成した。データは1名のレビューアが抽出し、2名目のレビューアが検証した。抽出項目：国名、法的手段の名称と年、規定の文言、影響を受けるビザ区分、医療用紙番号、改正経緯、情報源。</w:t>
      </w:r>
    </w:p>
    <w:p>
      <w:pPr>
        <w:spacing w:line="480" w:lineRule="auto" w:after="0"/>
      </w:pPr>
      <w:r>
        <w:rPr>
          <w:rFonts w:ascii="Times New Roman" w:hAnsi="Times New Roman"/>
          <w:b/>
          <w:sz w:val="24"/>
        </w:rPr>
        <w:t>データ統合</w:t>
      </w:r>
    </w:p>
    <w:p>
      <w:pPr>
        <w:spacing w:line="480" w:lineRule="auto" w:after="0"/>
      </w:pPr>
      <w:r>
        <w:rPr>
          <w:rFonts w:ascii="Times New Roman" w:hAnsi="Times New Roman"/>
          <w:sz w:val="24"/>
        </w:rPr>
        <w:t>国々はハンセン病関連入国管理規定の性質に基づき4ティアに分類された：ティアA（明示的制限現行）：ビザ拒否理由としてハンセン病を指定する法的規定を維持；ティアB（歴史的制限撤廃）：過去に規定を維持していたが明示的に廃止；ティアC（一般的健康規定）：就労ビザに健康診断を義務付けるがハンセン病を具体的に挙げず、公衆衛生リスクなど一般基準で判断；ティアD（データ不十分）：規定の有無を判断するデータ不足。</w:t>
      </w:r>
    </w:p>
    <w:p>
      <w:pPr>
        <w:pStyle w:val="Heading1"/>
        <w:spacing w:line="480" w:lineRule="auto" w:before="240" w:after="120"/>
      </w:pPr>
      <w:r>
        <w:rPr>
          <w:rFonts w:ascii="Times New Roman" w:hAnsi="Times New Roman"/>
          <w:color w:val="000000"/>
        </w:rPr>
        <w:t>Results</w:t>
      </w:r>
    </w:p>
    <w:p>
      <w:pPr>
        <w:spacing w:line="480" w:lineRule="auto" w:after="0"/>
      </w:pPr>
      <w:r>
        <w:rPr>
          <w:rFonts w:ascii="Times New Roman" w:hAnsi="Times New Roman"/>
          <w:b/>
          <w:sz w:val="24"/>
        </w:rPr>
        <w:t>検索結果</w:t>
      </w:r>
    </w:p>
    <w:p>
      <w:pPr>
        <w:spacing w:line="480" w:lineRule="auto" w:after="0"/>
      </w:pPr>
      <w:r>
        <w:rPr>
          <w:rFonts w:ascii="Times New Roman" w:hAnsi="Times New Roman"/>
          <w:sz w:val="24"/>
        </w:rPr>
        <w:t>データベース検索により847件の記録が得られた。重複除去後、534件がタイトル・要旨レベルでスクリーニングされ、78件が全文レビューに選ばれた。さらに41の政府ウェブサイト・立法DBを手作業検索し23件の関連文書を得た。31カ国からの合計39文書が適格基準を満たしデータ抽出に含められた。</w:t>
      </w:r>
    </w:p>
    <w:p>
      <w:pPr>
        <w:spacing w:line="480" w:lineRule="auto" w:after="0"/>
      </w:pPr>
      <w:r>
        <w:rPr>
          <w:rFonts w:ascii="Times New Roman" w:hAnsi="Times New Roman"/>
          <w:b/>
          <w:sz w:val="24"/>
        </w:rPr>
        <w:t>対象国の概要</w:t>
      </w:r>
    </w:p>
    <w:p>
      <w:pPr>
        <w:spacing w:line="480" w:lineRule="auto" w:after="0"/>
      </w:pPr>
      <w:r>
        <w:rPr>
          <w:rFonts w:ascii="Times New Roman" w:hAnsi="Times New Roman"/>
          <w:sz w:val="24"/>
        </w:rPr>
        <w:t>調査対象195カ国のうち、分類に十分なデータが得られたのは43カ国（22.1%）であった。残り152カ国（77.9%）はティアD（データ不十分）に分類された。</w:t>
      </w:r>
    </w:p>
    <w:p>
      <w:pPr>
        <w:spacing w:line="480" w:lineRule="auto" w:after="0"/>
      </w:pPr>
      <w:r>
        <w:rPr>
          <w:rFonts w:ascii="Times New Roman" w:hAnsi="Times New Roman"/>
          <w:b/>
          <w:sz w:val="24"/>
        </w:rPr>
        <w:t>ティアA：ハンセン病の明示的制限が現行</w:t>
      </w:r>
    </w:p>
    <w:p>
      <w:pPr>
        <w:spacing w:line="480" w:lineRule="auto" w:after="0"/>
      </w:pPr>
      <w:r>
        <w:rPr>
          <w:rFonts w:ascii="Times New Roman" w:hAnsi="Times New Roman"/>
          <w:sz w:val="24"/>
        </w:rPr>
        <w:t>ハンセン病を労働ビザ・居住制限の理由として指定する法的規定を持つ12カ国を特定した（Table 1）。</w:t>
      </w:r>
    </w:p>
    <w:p>
      <w:pPr>
        <w:spacing w:line="480" w:lineRule="auto" w:after="0"/>
      </w:pPr>
      <w:r>
        <w:rPr>
          <w:rFonts w:ascii="Times New Roman" w:hAnsi="Times New Roman"/>
          <w:sz w:val="24"/>
        </w:rPr>
        <w:t>| Country | Legal instrument | Provision | Year | Visa types affected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w:t>
            </w:r>
          </w:p>
        </w:tc>
        <w:tc>
          <w:tcPr>
            <w:tcW w:type="dxa" w:w="1728"/>
          </w:tcPr>
          <w:p>
            <w:r>
              <w:rPr>
                <w:rFonts w:ascii="Times New Roman" w:hAnsi="Times New Roman"/>
                <w:b/>
                <w:sz w:val="16"/>
              </w:rPr>
              <w:t>-----------------</w:t>
            </w:r>
          </w:p>
        </w:tc>
        <w:tc>
          <w:tcPr>
            <w:tcW w:type="dxa" w:w="1728"/>
          </w:tcPr>
          <w:p>
            <w:r>
              <w:rPr>
                <w:rFonts w:ascii="Times New Roman" w:hAnsi="Times New Roman"/>
                <w:b/>
                <w:sz w:val="16"/>
              </w:rPr>
              <w:t>-----------</w:t>
            </w:r>
          </w:p>
        </w:tc>
        <w:tc>
          <w:tcPr>
            <w:tcW w:type="dxa" w:w="1728"/>
          </w:tcPr>
          <w:p>
            <w:r>
              <w:rPr>
                <w:rFonts w:ascii="Times New Roman" w:hAnsi="Times New Roman"/>
                <w:b/>
                <w:sz w:val="16"/>
              </w:rPr>
              <w:t>------</w:t>
            </w:r>
          </w:p>
        </w:tc>
        <w:tc>
          <w:tcPr>
            <w:tcW w:type="dxa" w:w="1728"/>
          </w:tcPr>
          <w:p>
            <w:r>
              <w:rPr>
                <w:rFonts w:ascii="Times New Roman" w:hAnsi="Times New Roman"/>
                <w:b/>
                <w:sz w:val="16"/>
              </w:rPr>
              <w:t>-------------------</w:t>
            </w:r>
          </w:p>
        </w:tc>
      </w:tr>
      <w:tr>
        <w:tc>
          <w:tcPr>
            <w:tcW w:type="dxa" w:w="1728"/>
          </w:tcPr>
          <w:p>
            <w:r>
              <w:rPr>
                <w:rFonts w:ascii="Times New Roman" w:hAnsi="Times New Roman"/>
                <w:sz w:val="16"/>
              </w:rPr>
              <w:t>Qatar</w:t>
            </w:r>
          </w:p>
        </w:tc>
        <w:tc>
          <w:tcPr>
            <w:tcW w:type="dxa" w:w="1728"/>
          </w:tcPr>
          <w:p>
            <w:r>
              <w:rPr>
                <w:rFonts w:ascii="Times New Roman" w:hAnsi="Times New Roman"/>
                <w:sz w:val="16"/>
              </w:rPr>
              <w:t>GCC Unified Medical Examination Regulations, Art. 38, 42</w:t>
            </w:r>
          </w:p>
        </w:tc>
        <w:tc>
          <w:tcPr>
            <w:tcW w:type="dxa" w:w="1728"/>
          </w:tcPr>
          <w:p>
            <w:r>
              <w:rPr>
                <w:rFonts w:ascii="Times New Roman" w:hAnsi="Times New Roman"/>
                <w:sz w:val="16"/>
              </w:rPr>
              <w:t>Leprosy as medical unfitness/infectious disease</w:t>
            </w:r>
          </w:p>
        </w:tc>
        <w:tc>
          <w:tcPr>
            <w:tcW w:type="dxa" w:w="1728"/>
          </w:tcPr>
          <w:p>
            <w:r>
              <w:rPr>
                <w:rFonts w:ascii="Times New Roman" w:hAnsi="Times New Roman"/>
                <w:sz w:val="16"/>
              </w:rPr>
              <w:t>Current</w:t>
            </w:r>
          </w:p>
        </w:tc>
        <w:tc>
          <w:tcPr>
            <w:tcW w:type="dxa" w:w="1728"/>
          </w:tcPr>
          <w:p>
            <w:r>
              <w:rPr>
                <w:rFonts w:ascii="Times New Roman" w:hAnsi="Times New Roman"/>
                <w:sz w:val="16"/>
              </w:rPr>
              <w:t>All work visas</w:t>
            </w:r>
          </w:p>
        </w:tc>
      </w:tr>
      <w:tr>
        <w:tc>
          <w:tcPr>
            <w:tcW w:type="dxa" w:w="1728"/>
          </w:tcPr>
          <w:p>
            <w:r>
              <w:rPr>
                <w:rFonts w:ascii="Times New Roman" w:hAnsi="Times New Roman"/>
                <w:sz w:val="16"/>
              </w:rPr>
              <w:t>Kuwait</w:t>
            </w:r>
          </w:p>
        </w:tc>
        <w:tc>
          <w:tcPr>
            <w:tcW w:type="dxa" w:w="1728"/>
          </w:tcPr>
          <w:p>
            <w:r>
              <w:rPr>
                <w:rFonts w:ascii="Times New Roman" w:hAnsi="Times New Roman"/>
                <w:sz w:val="16"/>
              </w:rPr>
              <w:t>GCC Unified Medical Examination Regulations, Art. 38, 42</w:t>
            </w:r>
          </w:p>
        </w:tc>
        <w:tc>
          <w:tcPr>
            <w:tcW w:type="dxa" w:w="1728"/>
          </w:tcPr>
          <w:p>
            <w:r>
              <w:rPr>
                <w:rFonts w:ascii="Times New Roman" w:hAnsi="Times New Roman"/>
                <w:sz w:val="16"/>
              </w:rPr>
              <w:t>Leprosy as medical unfitness/infectious disease</w:t>
            </w:r>
          </w:p>
        </w:tc>
        <w:tc>
          <w:tcPr>
            <w:tcW w:type="dxa" w:w="1728"/>
          </w:tcPr>
          <w:p>
            <w:r>
              <w:rPr>
                <w:rFonts w:ascii="Times New Roman" w:hAnsi="Times New Roman"/>
                <w:sz w:val="16"/>
              </w:rPr>
              <w:t>Current</w:t>
            </w:r>
          </w:p>
        </w:tc>
        <w:tc>
          <w:tcPr>
            <w:tcW w:type="dxa" w:w="1728"/>
          </w:tcPr>
          <w:p>
            <w:r>
              <w:rPr>
                <w:rFonts w:ascii="Times New Roman" w:hAnsi="Times New Roman"/>
                <w:sz w:val="16"/>
              </w:rPr>
              <w:t>All work visas</w:t>
            </w:r>
          </w:p>
        </w:tc>
      </w:tr>
      <w:tr>
        <w:tc>
          <w:tcPr>
            <w:tcW w:type="dxa" w:w="1728"/>
          </w:tcPr>
          <w:p>
            <w:r>
              <w:rPr>
                <w:rFonts w:ascii="Times New Roman" w:hAnsi="Times New Roman"/>
                <w:sz w:val="16"/>
              </w:rPr>
              <w:t>UAE</w:t>
            </w:r>
          </w:p>
        </w:tc>
        <w:tc>
          <w:tcPr>
            <w:tcW w:type="dxa" w:w="1728"/>
          </w:tcPr>
          <w:p>
            <w:r>
              <w:rPr>
                <w:rFonts w:ascii="Times New Roman" w:hAnsi="Times New Roman"/>
                <w:sz w:val="16"/>
              </w:rPr>
              <w:t>GCC Unified Medical Examination Regulations, Art. 38, 42</w:t>
            </w:r>
          </w:p>
        </w:tc>
        <w:tc>
          <w:tcPr>
            <w:tcW w:type="dxa" w:w="1728"/>
          </w:tcPr>
          <w:p>
            <w:r>
              <w:rPr>
                <w:rFonts w:ascii="Times New Roman" w:hAnsi="Times New Roman"/>
                <w:sz w:val="16"/>
              </w:rPr>
              <w:t>Leprosy as medical unfitness/infectious disease</w:t>
            </w:r>
          </w:p>
        </w:tc>
        <w:tc>
          <w:tcPr>
            <w:tcW w:type="dxa" w:w="1728"/>
          </w:tcPr>
          <w:p>
            <w:r>
              <w:rPr>
                <w:rFonts w:ascii="Times New Roman" w:hAnsi="Times New Roman"/>
                <w:sz w:val="16"/>
              </w:rPr>
              <w:t>Current</w:t>
            </w:r>
          </w:p>
        </w:tc>
        <w:tc>
          <w:tcPr>
            <w:tcW w:type="dxa" w:w="1728"/>
          </w:tcPr>
          <w:p>
            <w:r>
              <w:rPr>
                <w:rFonts w:ascii="Times New Roman" w:hAnsi="Times New Roman"/>
                <w:sz w:val="16"/>
              </w:rPr>
              <w:t>All residence visas</w:t>
            </w:r>
          </w:p>
        </w:tc>
      </w:tr>
      <w:tr>
        <w:tc>
          <w:tcPr>
            <w:tcW w:type="dxa" w:w="1728"/>
          </w:tcPr>
          <w:p>
            <w:r>
              <w:rPr>
                <w:rFonts w:ascii="Times New Roman" w:hAnsi="Times New Roman"/>
                <w:sz w:val="16"/>
              </w:rPr>
              <w:t>Bahrain</w:t>
            </w:r>
          </w:p>
        </w:tc>
        <w:tc>
          <w:tcPr>
            <w:tcW w:type="dxa" w:w="1728"/>
          </w:tcPr>
          <w:p>
            <w:r>
              <w:rPr>
                <w:rFonts w:ascii="Times New Roman" w:hAnsi="Times New Roman"/>
                <w:sz w:val="16"/>
              </w:rPr>
              <w:t>GCC Unified Medical Examination Regulations, Art. 38, 42</w:t>
            </w:r>
          </w:p>
        </w:tc>
        <w:tc>
          <w:tcPr>
            <w:tcW w:type="dxa" w:w="1728"/>
          </w:tcPr>
          <w:p>
            <w:r>
              <w:rPr>
                <w:rFonts w:ascii="Times New Roman" w:hAnsi="Times New Roman"/>
                <w:sz w:val="16"/>
              </w:rPr>
              <w:t>Leprosy as medical unfitness/infectious disease</w:t>
            </w:r>
          </w:p>
        </w:tc>
        <w:tc>
          <w:tcPr>
            <w:tcW w:type="dxa" w:w="1728"/>
          </w:tcPr>
          <w:p>
            <w:r>
              <w:rPr>
                <w:rFonts w:ascii="Times New Roman" w:hAnsi="Times New Roman"/>
                <w:sz w:val="16"/>
              </w:rPr>
              <w:t>Current</w:t>
            </w:r>
          </w:p>
        </w:tc>
        <w:tc>
          <w:tcPr>
            <w:tcW w:type="dxa" w:w="1728"/>
          </w:tcPr>
          <w:p>
            <w:r>
              <w:rPr>
                <w:rFonts w:ascii="Times New Roman" w:hAnsi="Times New Roman"/>
                <w:sz w:val="16"/>
              </w:rPr>
              <w:t>All work visas</w:t>
            </w:r>
          </w:p>
        </w:tc>
      </w:tr>
      <w:tr>
        <w:tc>
          <w:tcPr>
            <w:tcW w:type="dxa" w:w="1728"/>
          </w:tcPr>
          <w:p>
            <w:r>
              <w:rPr>
                <w:rFonts w:ascii="Times New Roman" w:hAnsi="Times New Roman"/>
                <w:sz w:val="16"/>
              </w:rPr>
              <w:t>Oman</w:t>
            </w:r>
          </w:p>
        </w:tc>
        <w:tc>
          <w:tcPr>
            <w:tcW w:type="dxa" w:w="1728"/>
          </w:tcPr>
          <w:p>
            <w:r>
              <w:rPr>
                <w:rFonts w:ascii="Times New Roman" w:hAnsi="Times New Roman"/>
                <w:sz w:val="16"/>
              </w:rPr>
              <w:t>GCC Unified Medical Examination Regulations, Art. 38, 42</w:t>
            </w:r>
          </w:p>
        </w:tc>
        <w:tc>
          <w:tcPr>
            <w:tcW w:type="dxa" w:w="1728"/>
          </w:tcPr>
          <w:p>
            <w:r>
              <w:rPr>
                <w:rFonts w:ascii="Times New Roman" w:hAnsi="Times New Roman"/>
                <w:sz w:val="16"/>
              </w:rPr>
              <w:t>Leprosy as medical unfitness/infectious disease</w:t>
            </w:r>
          </w:p>
        </w:tc>
        <w:tc>
          <w:tcPr>
            <w:tcW w:type="dxa" w:w="1728"/>
          </w:tcPr>
          <w:p>
            <w:r>
              <w:rPr>
                <w:rFonts w:ascii="Times New Roman" w:hAnsi="Times New Roman"/>
                <w:sz w:val="16"/>
              </w:rPr>
              <w:t>Current</w:t>
            </w:r>
          </w:p>
        </w:tc>
        <w:tc>
          <w:tcPr>
            <w:tcW w:type="dxa" w:w="1728"/>
          </w:tcPr>
          <w:p>
            <w:r>
              <w:rPr>
                <w:rFonts w:ascii="Times New Roman" w:hAnsi="Times New Roman"/>
                <w:sz w:val="16"/>
              </w:rPr>
              <w:t>All work visas</w:t>
            </w:r>
          </w:p>
        </w:tc>
      </w:tr>
      <w:tr>
        <w:tc>
          <w:tcPr>
            <w:tcW w:type="dxa" w:w="1728"/>
          </w:tcPr>
          <w:p>
            <w:r>
              <w:rPr>
                <w:rFonts w:ascii="Times New Roman" w:hAnsi="Times New Roman"/>
                <w:sz w:val="16"/>
              </w:rPr>
              <w:t>South Africa</w:t>
            </w:r>
          </w:p>
        </w:tc>
        <w:tc>
          <w:tcPr>
            <w:tcW w:type="dxa" w:w="1728"/>
          </w:tcPr>
          <w:p>
            <w:r>
              <w:rPr>
                <w:rFonts w:ascii="Times New Roman" w:hAnsi="Times New Roman"/>
                <w:sz w:val="16"/>
              </w:rPr>
              <w:t>Immigration Regulations, Reg 26(1); IHR Act, 1974</w:t>
            </w:r>
          </w:p>
        </w:tc>
        <w:tc>
          <w:tcPr>
            <w:tcW w:type="dxa" w:w="1728"/>
          </w:tcPr>
          <w:p>
            <w:r>
              <w:rPr>
                <w:rFonts w:ascii="Times New Roman" w:hAnsi="Times New Roman"/>
                <w:sz w:val="16"/>
              </w:rPr>
              <w:t>Diseases under IHR Act regulations; BI-811/DHA-811 includes leprosy</w:t>
            </w:r>
          </w:p>
        </w:tc>
        <w:tc>
          <w:tcPr>
            <w:tcW w:type="dxa" w:w="1728"/>
          </w:tcPr>
          <w:p>
            <w:r>
              <w:rPr>
                <w:rFonts w:ascii="Times New Roman" w:hAnsi="Times New Roman"/>
                <w:sz w:val="16"/>
              </w:rPr>
              <w:t>2014</w:t>
            </w:r>
          </w:p>
        </w:tc>
        <w:tc>
          <w:tcPr>
            <w:tcW w:type="dxa" w:w="1728"/>
          </w:tcPr>
          <w:p>
            <w:r>
              <w:rPr>
                <w:rFonts w:ascii="Times New Roman" w:hAnsi="Times New Roman"/>
                <w:sz w:val="16"/>
              </w:rPr>
              <w:t>Work visas &gt;6 months, PR</w:t>
            </w:r>
          </w:p>
        </w:tc>
      </w:tr>
      <w:tr>
        <w:tc>
          <w:tcPr>
            <w:tcW w:type="dxa" w:w="1728"/>
          </w:tcPr>
          <w:p>
            <w:r>
              <w:rPr>
                <w:rFonts w:ascii="Times New Roman" w:hAnsi="Times New Roman"/>
                <w:sz w:val="16"/>
              </w:rPr>
              <w:t>Thailand</w:t>
            </w:r>
          </w:p>
        </w:tc>
        <w:tc>
          <w:tcPr>
            <w:tcW w:type="dxa" w:w="1728"/>
          </w:tcPr>
          <w:p>
            <w:r>
              <w:rPr>
                <w:rFonts w:ascii="Times New Roman" w:hAnsi="Times New Roman"/>
                <w:sz w:val="16"/>
              </w:rPr>
              <w:t>Ministerial Regulation No. 14, B.E. 2535</w:t>
            </w:r>
          </w:p>
        </w:tc>
        <w:tc>
          <w:tcPr>
            <w:tcW w:type="dxa" w:w="1728"/>
          </w:tcPr>
          <w:p>
            <w:r>
              <w:rPr>
                <w:rFonts w:ascii="Times New Roman" w:hAnsi="Times New Roman"/>
                <w:sz w:val="16"/>
              </w:rPr>
              <w:t>Leprosy as first of six prohibited diseases</w:t>
            </w:r>
          </w:p>
        </w:tc>
        <w:tc>
          <w:tcPr>
            <w:tcW w:type="dxa" w:w="1728"/>
          </w:tcPr>
          <w:p>
            <w:r>
              <w:rPr>
                <w:rFonts w:ascii="Times New Roman" w:hAnsi="Times New Roman"/>
                <w:sz w:val="16"/>
              </w:rPr>
              <w:t>1992/2008</w:t>
            </w:r>
          </w:p>
        </w:tc>
        <w:tc>
          <w:tcPr>
            <w:tcW w:type="dxa" w:w="1728"/>
          </w:tcPr>
          <w:p>
            <w:r>
              <w:rPr>
                <w:rFonts w:ascii="Times New Roman" w:hAnsi="Times New Roman"/>
                <w:sz w:val="16"/>
              </w:rPr>
              <w:t>All work permits</w:t>
            </w:r>
          </w:p>
        </w:tc>
      </w:tr>
      <w:tr>
        <w:tc>
          <w:tcPr>
            <w:tcW w:type="dxa" w:w="1728"/>
          </w:tcPr>
          <w:p>
            <w:r>
              <w:rPr>
                <w:rFonts w:ascii="Times New Roman" w:hAnsi="Times New Roman"/>
                <w:sz w:val="16"/>
              </w:rPr>
              <w:t>Taiwan</w:t>
            </w:r>
          </w:p>
        </w:tc>
        <w:tc>
          <w:tcPr>
            <w:tcW w:type="dxa" w:w="1728"/>
          </w:tcPr>
          <w:p>
            <w:r>
              <w:rPr>
                <w:rFonts w:ascii="Times New Roman" w:hAnsi="Times New Roman"/>
                <w:sz w:val="16"/>
              </w:rPr>
              <w:t>CDC Foreigners' Health Checklist for Residence</w:t>
            </w:r>
          </w:p>
        </w:tc>
        <w:tc>
          <w:tcPr>
            <w:tcW w:type="dxa" w:w="1728"/>
          </w:tcPr>
          <w:p>
            <w:r>
              <w:rPr>
                <w:rFonts w:ascii="Times New Roman" w:hAnsi="Times New Roman"/>
                <w:sz w:val="16"/>
              </w:rPr>
              <w:t>Skin disease/Leprosy examination item</w:t>
            </w:r>
          </w:p>
        </w:tc>
        <w:tc>
          <w:tcPr>
            <w:tcW w:type="dxa" w:w="1728"/>
          </w:tcPr>
          <w:p>
            <w:r>
              <w:rPr>
                <w:rFonts w:ascii="Times New Roman" w:hAnsi="Times New Roman"/>
                <w:sz w:val="16"/>
              </w:rPr>
              <w:t>Current</w:t>
            </w:r>
          </w:p>
        </w:tc>
        <w:tc>
          <w:tcPr>
            <w:tcW w:type="dxa" w:w="1728"/>
          </w:tcPr>
          <w:p>
            <w:r>
              <w:rPr>
                <w:rFonts w:ascii="Times New Roman" w:hAnsi="Times New Roman"/>
                <w:sz w:val="16"/>
              </w:rPr>
              <w:t>Resident visas</w:t>
            </w:r>
          </w:p>
        </w:tc>
      </w:tr>
      <w:tr>
        <w:tc>
          <w:tcPr>
            <w:tcW w:type="dxa" w:w="1728"/>
          </w:tcPr>
          <w:p>
            <w:r>
              <w:rPr>
                <w:rFonts w:ascii="Times New Roman" w:hAnsi="Times New Roman"/>
                <w:sz w:val="16"/>
              </w:rPr>
              <w:t>Philippines</w:t>
            </w:r>
          </w:p>
        </w:tc>
        <w:tc>
          <w:tcPr>
            <w:tcW w:type="dxa" w:w="1728"/>
          </w:tcPr>
          <w:p>
            <w:r>
              <w:rPr>
                <w:rFonts w:ascii="Times New Roman" w:hAnsi="Times New Roman"/>
                <w:sz w:val="16"/>
              </w:rPr>
              <w:t>SIRV medical form FA-11 (Class A)</w:t>
            </w:r>
          </w:p>
        </w:tc>
        <w:tc>
          <w:tcPr>
            <w:tcW w:type="dxa" w:w="1728"/>
          </w:tcPr>
          <w:p>
            <w:r>
              <w:rPr>
                <w:rFonts w:ascii="Times New Roman" w:hAnsi="Times New Roman"/>
                <w:sz w:val="16"/>
              </w:rPr>
              <w:t>Leprosy (infectious) as dangerous/contagious disease</w:t>
            </w:r>
          </w:p>
        </w:tc>
        <w:tc>
          <w:tcPr>
            <w:tcW w:type="dxa" w:w="1728"/>
          </w:tcPr>
          <w:p>
            <w:r>
              <w:rPr>
                <w:rFonts w:ascii="Times New Roman" w:hAnsi="Times New Roman"/>
                <w:sz w:val="16"/>
              </w:rPr>
              <w:t>Current</w:t>
            </w:r>
          </w:p>
        </w:tc>
        <w:tc>
          <w:tcPr>
            <w:tcW w:type="dxa" w:w="1728"/>
          </w:tcPr>
          <w:p>
            <w:r>
              <w:rPr>
                <w:rFonts w:ascii="Times New Roman" w:hAnsi="Times New Roman"/>
                <w:sz w:val="16"/>
              </w:rPr>
              <w:t>Investor resident visas</w:t>
            </w:r>
          </w:p>
        </w:tc>
      </w:tr>
      <w:tr>
        <w:tc>
          <w:tcPr>
            <w:tcW w:type="dxa" w:w="1728"/>
          </w:tcPr>
          <w:p>
            <w:r>
              <w:rPr>
                <w:rFonts w:ascii="Times New Roman" w:hAnsi="Times New Roman"/>
                <w:sz w:val="16"/>
              </w:rPr>
              <w:t>United States</w:t>
            </w:r>
          </w:p>
        </w:tc>
        <w:tc>
          <w:tcPr>
            <w:tcW w:type="dxa" w:w="1728"/>
          </w:tcPr>
          <w:p>
            <w:r>
              <w:rPr>
                <w:rFonts w:ascii="Times New Roman" w:hAnsi="Times New Roman"/>
                <w:sz w:val="16"/>
              </w:rPr>
              <w:t>CDC Technical Instructions for Panel Physicians</w:t>
            </w:r>
          </w:p>
        </w:tc>
        <w:tc>
          <w:tcPr>
            <w:tcW w:type="dxa" w:w="1728"/>
          </w:tcPr>
          <w:p>
            <w:r>
              <w:rPr>
                <w:rFonts w:ascii="Times New Roman" w:hAnsi="Times New Roman"/>
                <w:sz w:val="16"/>
              </w:rPr>
              <w:t>Hansen's disease as communicable disease of public health significance</w:t>
            </w:r>
          </w:p>
        </w:tc>
        <w:tc>
          <w:tcPr>
            <w:tcW w:type="dxa" w:w="1728"/>
          </w:tcPr>
          <w:p>
            <w:r>
              <w:rPr>
                <w:rFonts w:ascii="Times New Roman" w:hAnsi="Times New Roman"/>
                <w:sz w:val="16"/>
              </w:rPr>
              <w:t>Current</w:t>
            </w:r>
          </w:p>
        </w:tc>
        <w:tc>
          <w:tcPr>
            <w:tcW w:type="dxa" w:w="1728"/>
          </w:tcPr>
          <w:p>
            <w:r>
              <w:rPr>
                <w:rFonts w:ascii="Times New Roman" w:hAnsi="Times New Roman"/>
                <w:sz w:val="16"/>
              </w:rPr>
              <w:t>Immigrant visas, adjustment of status</w:t>
            </w:r>
          </w:p>
        </w:tc>
      </w:tr>
      <w:tr>
        <w:tc>
          <w:tcPr>
            <w:tcW w:type="dxa" w:w="1728"/>
          </w:tcPr>
          <w:p>
            <w:r>
              <w:rPr>
                <w:rFonts w:ascii="Times New Roman" w:hAnsi="Times New Roman"/>
                <w:sz w:val="16"/>
              </w:rPr>
              <w:t>Russia</w:t>
            </w:r>
          </w:p>
        </w:tc>
        <w:tc>
          <w:tcPr>
            <w:tcW w:type="dxa" w:w="1728"/>
          </w:tcPr>
          <w:p>
            <w:r>
              <w:rPr>
                <w:rFonts w:ascii="Times New Roman" w:hAnsi="Times New Roman"/>
                <w:sz w:val="16"/>
              </w:rPr>
              <w:t>Federal Law No. 357-FZ</w:t>
            </w:r>
          </w:p>
        </w:tc>
        <w:tc>
          <w:tcPr>
            <w:tcW w:type="dxa" w:w="1728"/>
          </w:tcPr>
          <w:p>
            <w:r>
              <w:rPr>
                <w:rFonts w:ascii="Times New Roman" w:hAnsi="Times New Roman"/>
                <w:sz w:val="16"/>
              </w:rPr>
              <w:t>Mandatory quarterly leprosy screening for foreign workers</w:t>
            </w:r>
          </w:p>
        </w:tc>
        <w:tc>
          <w:tcPr>
            <w:tcW w:type="dxa" w:w="1728"/>
          </w:tcPr>
          <w:p>
            <w:r>
              <w:rPr>
                <w:rFonts w:ascii="Times New Roman" w:hAnsi="Times New Roman"/>
                <w:sz w:val="16"/>
              </w:rPr>
              <w:t>2021</w:t>
            </w:r>
          </w:p>
        </w:tc>
        <w:tc>
          <w:tcPr>
            <w:tcW w:type="dxa" w:w="1728"/>
          </w:tcPr>
          <w:p>
            <w:r>
              <w:rPr>
                <w:rFonts w:ascii="Times New Roman" w:hAnsi="Times New Roman"/>
                <w:sz w:val="16"/>
              </w:rPr>
              <w:t>All work/residence &gt;90 days</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b/>
          <w:sz w:val="24"/>
        </w:rPr>
        <w:t>湾岸協力会議（GCC）加盟国</w:t>
      </w:r>
    </w:p>
    <w:p>
      <w:pPr>
        <w:spacing w:line="480" w:lineRule="auto" w:after="0"/>
      </w:pPr>
      <w:r>
        <w:rPr>
          <w:rFonts w:ascii="Times New Roman" w:hAnsi="Times New Roman"/>
          <w:sz w:val="24"/>
        </w:rPr>
      </w:r>
      <w:r>
        <w:rPr>
          <w:rFonts w:ascii="Times New Roman" w:hAnsi="Times New Roman"/>
          <w:b/>
          <w:sz w:val="24"/>
        </w:rPr>
        <w:t>GCC 6カ国</w:t>
      </w:r>
      <w:r>
        <w:rPr>
          <w:rFonts w:ascii="Times New Roman" w:hAnsi="Times New Roman"/>
          <w:sz w:val="24"/>
        </w:rPr>
        <w:t>（サウジアラビア、カタール、クウェート、UAE、バーレーン、オマーン）は、湾岸保健委員会がWafidプログラムを通じて管理する統一</w:t>
      </w:r>
      <w:r>
        <w:rPr>
          <w:rFonts w:ascii="Times New Roman" w:hAnsi="Times New Roman"/>
          <w:b/>
          <w:sz w:val="24"/>
        </w:rPr>
        <w:t>GCC外国人医療検査規定</w:t>
      </w:r>
      <w:r>
        <w:rPr>
          <w:rFonts w:ascii="Times New Roman" w:hAnsi="Times New Roman"/>
          <w:sz w:val="24"/>
        </w:rPr>
        <w:t>に基づいて運用されている [11, 12]。この規定（全文79頁）は、ハンセン病を2つの別個の規定で明示的に挙げている：</w:t>
      </w:r>
    </w:p>
    <w:p>
      <w:pPr>
        <w:spacing w:line="480" w:lineRule="auto" w:after="0"/>
      </w:pPr>
      <w:r>
        <w:rPr>
          <w:rFonts w:ascii="Times New Roman" w:hAnsi="Times New Roman"/>
          <w:sz w:val="24"/>
        </w:rPr>
        <w:t xml:space="preserve">- </w:t>
      </w:r>
      <w:r>
        <w:rPr>
          <w:rFonts w:ascii="Times New Roman" w:hAnsi="Times New Roman"/>
          <w:b/>
          <w:sz w:val="24"/>
        </w:rPr>
        <w:t>第38条（皮膚検査）</w:t>
      </w:r>
      <w:r>
        <w:rPr>
          <w:rFonts w:ascii="Times New Roman" w:hAnsi="Times New Roman"/>
          <w:sz w:val="24"/>
        </w:rPr>
        <w:t>：「ハンセン病の病理学的兆候、湿疹、乾癬などの慢性皮膚疾患、またはその他の感染性皮膚疾患がないこと」</w:t>
      </w:r>
    </w:p>
    <w:p>
      <w:pPr>
        <w:spacing w:line="480" w:lineRule="auto" w:after="0"/>
      </w:pPr>
      <w:r>
        <w:rPr>
          <w:rFonts w:ascii="Times New Roman" w:hAnsi="Times New Roman"/>
          <w:sz w:val="24"/>
        </w:rPr>
        <w:t xml:space="preserve">- </w:t>
      </w:r>
      <w:r>
        <w:rPr>
          <w:rFonts w:ascii="Times New Roman" w:hAnsi="Times New Roman"/>
          <w:b/>
          <w:sz w:val="24"/>
        </w:rPr>
        <w:t>第42条（医学的不適合事例）</w:t>
      </w:r>
      <w:r>
        <w:rPr>
          <w:rFonts w:ascii="Times New Roman" w:hAnsi="Times New Roman"/>
          <w:sz w:val="24"/>
        </w:rPr>
        <w:t>：ハンセン病は外国人を就労不適合とする「感染症」の下で（HIV、B型肝炎、C型肝炎、ミクロフィラリア/マラリアに次ぐ）第5の感染症として列挙されている。</w:t>
      </w:r>
    </w:p>
    <w:p>
      <w:pPr>
        <w:spacing w:line="480" w:lineRule="auto" w:after="0"/>
      </w:pPr>
      <w:r>
        <w:rPr>
          <w:rFonts w:ascii="Times New Roman" w:hAnsi="Times New Roman"/>
          <w:sz w:val="24"/>
        </w:rPr>
        <w:t>同規定はハンセン病の検出に失敗した認定医療センターに1,500米ドルの罰金から認定取消しまでの段階的罰則を規定している [11]。</w:t>
      </w:r>
    </w:p>
    <w:p>
      <w:pPr>
        <w:spacing w:line="480" w:lineRule="auto" w:after="0"/>
      </w:pPr>
      <w:r>
        <w:rPr>
          <w:rFonts w:ascii="Times New Roman" w:hAnsi="Times New Roman"/>
          <w:sz w:val="24"/>
        </w:rPr>
      </w:r>
      <w:r>
        <w:rPr>
          <w:rFonts w:ascii="Times New Roman" w:hAnsi="Times New Roman"/>
          <w:b/>
          <w:sz w:val="24"/>
        </w:rPr>
        <w:t>サウジアラビア</w:t>
      </w:r>
      <w:r>
        <w:rPr>
          <w:rFonts w:ascii="Times New Roman" w:hAnsi="Times New Roman"/>
          <w:sz w:val="24"/>
        </w:rPr>
        <w:t>は保健省の外国人医療検査プログラムを通じてGCC枠組みを実施している [13]。</w:t>
      </w:r>
      <w:r>
        <w:rPr>
          <w:rFonts w:ascii="Times New Roman" w:hAnsi="Times New Roman"/>
          <w:b/>
          <w:sz w:val="24"/>
        </w:rPr>
        <w:t>カタール</w:t>
      </w:r>
      <w:r>
        <w:rPr>
          <w:rFonts w:ascii="Times New Roman" w:hAnsi="Times New Roman"/>
          <w:sz w:val="24"/>
        </w:rPr>
        <w:t>は公衆衛生最高評議会の雇用前健康診断要件を通じて適用している [14]。</w:t>
      </w:r>
      <w:r>
        <w:rPr>
          <w:rFonts w:ascii="Times New Roman" w:hAnsi="Times New Roman"/>
          <w:b/>
          <w:sz w:val="24"/>
        </w:rPr>
        <w:t>クウェート</w:t>
      </w:r>
      <w:r>
        <w:rPr>
          <w:rFonts w:ascii="Times New Roman" w:hAnsi="Times New Roman"/>
          <w:sz w:val="24"/>
        </w:rPr>
        <w:t>は保健省の外国人スクリーニング規定により執行し、国内疾病対策法制で補完している [15]。</w:t>
      </w:r>
      <w:r>
        <w:rPr>
          <w:rFonts w:ascii="Times New Roman" w:hAnsi="Times New Roman"/>
          <w:b/>
          <w:sz w:val="24"/>
        </w:rPr>
        <w:t>UAE</w:t>
      </w:r>
      <w:r>
        <w:rPr>
          <w:rFonts w:ascii="Times New Roman" w:hAnsi="Times New Roman"/>
          <w:sz w:val="24"/>
        </w:rPr>
        <w:t>は外国人居住許可に「あらゆる伝染病がないこと」を連邦要件として並行して適用している [16]。</w:t>
      </w:r>
      <w:r>
        <w:rPr>
          <w:rFonts w:ascii="Times New Roman" w:hAnsi="Times New Roman"/>
          <w:b/>
          <w:sz w:val="24"/>
        </w:rPr>
        <w:t>バーレーン</w:t>
      </w:r>
      <w:r>
        <w:rPr>
          <w:rFonts w:ascii="Times New Roman" w:hAnsi="Times New Roman"/>
          <w:sz w:val="24"/>
        </w:rPr>
        <w:t>と</w:t>
      </w:r>
      <w:r>
        <w:rPr>
          <w:rFonts w:ascii="Times New Roman" w:hAnsi="Times New Roman"/>
          <w:b/>
          <w:sz w:val="24"/>
        </w:rPr>
        <w:t>オマーン</w:t>
      </w:r>
      <w:r>
        <w:rPr>
          <w:rFonts w:ascii="Times New Roman" w:hAnsi="Times New Roman"/>
          <w:sz w:val="24"/>
        </w:rPr>
        <w:t>はGCC加盟国としてWafid医療スクリーニングプログラムを適用している。</w:t>
      </w:r>
    </w:p>
    <w:p>
      <w:pPr>
        <w:spacing w:line="480" w:lineRule="auto" w:after="0"/>
      </w:pPr>
      <w:r>
        <w:rPr>
          <w:rFonts w:ascii="Times New Roman" w:hAnsi="Times New Roman"/>
          <w:b/>
          <w:sz w:val="24"/>
        </w:rPr>
        <w:t>南アフリカ</w:t>
      </w:r>
    </w:p>
    <w:p>
      <w:pPr>
        <w:spacing w:line="480" w:lineRule="auto" w:after="0"/>
      </w:pPr>
      <w:r>
        <w:rPr>
          <w:rFonts w:ascii="Times New Roman" w:hAnsi="Times New Roman"/>
          <w:sz w:val="24"/>
        </w:rPr>
        <w:t>2014年移民規則（GN R.416、官報No. 37679、2014年5月22日）Regulation 26(1)は、移民法第29条(1)(a)に基づき外国人を禁止対象者とする疾患を「1974年国際保健規則法（Act No. 28 of 1974）に基づいて公布された規則に言及されたもの、および保健省が適用法令に従って随時決定する、人を入国不適格とするその他の疾患またはウイルス」と規定している [17]。6ヶ月超の就労ビザ申請者は医療証明書（BI-811、現DHA-811）を提出する必要があり、これには歴史的にハンセン病が報告可能な管理可能疾患として含まれていた。</w:t>
      </w:r>
    </w:p>
    <w:p>
      <w:pPr>
        <w:spacing w:line="480" w:lineRule="auto" w:after="0"/>
      </w:pPr>
      <w:r>
        <w:rPr>
          <w:rFonts w:ascii="Times New Roman" w:hAnsi="Times New Roman"/>
          <w:b/>
          <w:sz w:val="24"/>
        </w:rPr>
        <w:t>タイ</w:t>
      </w:r>
    </w:p>
    <w:p>
      <w:pPr>
        <w:spacing w:line="480" w:lineRule="auto" w:after="0"/>
      </w:pPr>
      <w:r>
        <w:rPr>
          <w:rFonts w:ascii="Times New Roman" w:hAnsi="Times New Roman"/>
          <w:sz w:val="24"/>
        </w:rPr>
        <w:t>外国人労働許可法B.E. 2551（2008年）に基づく省令第14号（B.E. 2535）は、労働許可申請者の6つの禁止疾患の第1位としてハンセン病を挙げている [18]。6疾患とは：(1) ハンセン病、(2) 結核、(3) 薬物中毒、(4) 慢性アルコール依存症、(5) 象皮病（リンパ系フィラリア症）、(6) 第3期梅毒である。診断書は申請者がこれらの疾患に罹患していないことを明示的に確認し、90日間有効である [19]。</w:t>
      </w:r>
    </w:p>
    <w:p>
      <w:pPr>
        <w:spacing w:line="480" w:lineRule="auto" w:after="0"/>
      </w:pPr>
      <w:r>
        <w:rPr>
          <w:rFonts w:ascii="Times New Roman" w:hAnsi="Times New Roman"/>
          <w:b/>
          <w:sz w:val="24"/>
        </w:rPr>
        <w:t>台湾</w:t>
      </w:r>
    </w:p>
    <w:p>
      <w:pPr>
        <w:spacing w:line="480" w:lineRule="auto" w:after="0"/>
      </w:pPr>
      <w:r>
        <w:rPr>
          <w:rFonts w:ascii="Times New Roman" w:hAnsi="Times New Roman"/>
          <w:sz w:val="24"/>
        </w:rPr>
        <w:t>台湾CDC外国人健康診断チェックリスト（居留用）は、居留ビザ申請者全員に「皮膚疾患/ハンセン病検査」項目を設けている [20]。検査内容：胸部X線（結核）、便検査（寄生虫）、血清学的検査（梅毒）、皮膚/ハンセン病評価を含む身体診察。</w:t>
      </w:r>
    </w:p>
    <w:p>
      <w:pPr>
        <w:spacing w:line="480" w:lineRule="auto" w:after="0"/>
      </w:pPr>
      <w:r>
        <w:rPr>
          <w:rFonts w:ascii="Times New Roman" w:hAnsi="Times New Roman"/>
          <w:b/>
          <w:sz w:val="24"/>
        </w:rPr>
        <w:t>フィリピン</w:t>
      </w:r>
    </w:p>
    <w:p>
      <w:pPr>
        <w:spacing w:line="480" w:lineRule="auto" w:after="0"/>
      </w:pPr>
      <w:r>
        <w:rPr>
          <w:rFonts w:ascii="Times New Roman" w:hAnsi="Times New Roman"/>
          <w:sz w:val="24"/>
        </w:rPr>
        <w:t>特別投資家居住ビザ（SIRV）診断書（FA Form No. 11）は、ハンセン病（感染性）を</w:t>
      </w:r>
      <w:r>
        <w:rPr>
          <w:rFonts w:ascii="Times New Roman" w:hAnsi="Times New Roman"/>
          <w:b/>
          <w:sz w:val="24"/>
        </w:rPr>
        <w:t>Class A危険/伝染性疾患</w:t>
      </w:r>
      <w:r>
        <w:rPr>
          <w:rFonts w:ascii="Times New Roman" w:hAnsi="Times New Roman"/>
          <w:sz w:val="24"/>
        </w:rPr>
        <w:t>として、軟性下疳、淋病、鼠径肉芽腫、性病性リンパ肉芽腫、感染期梅毒、活動性結核、AIDSと並べて分類している [21]。</w:t>
      </w:r>
    </w:p>
    <w:p>
      <w:pPr>
        <w:spacing w:line="480" w:lineRule="auto" w:after="0"/>
      </w:pPr>
      <w:r>
        <w:rPr>
          <w:rFonts w:ascii="Times New Roman" w:hAnsi="Times New Roman"/>
          <w:b/>
          <w:sz w:val="24"/>
        </w:rPr>
        <w:t>米国</w:t>
      </w:r>
    </w:p>
    <w:p>
      <w:pPr>
        <w:spacing w:line="480" w:lineRule="auto" w:after="0"/>
      </w:pPr>
      <w:r>
        <w:rPr>
          <w:rFonts w:ascii="Times New Roman" w:hAnsi="Times New Roman"/>
          <w:sz w:val="24"/>
        </w:rPr>
        <w:t>CDCのPanel Physicianおよび市民外科医向け技術指示書は、</w:t>
      </w:r>
      <w:r>
        <w:rPr>
          <w:rFonts w:ascii="Times New Roman" w:hAnsi="Times New Roman"/>
          <w:b/>
          <w:sz w:val="24"/>
        </w:rPr>
        <w:t>ハンセン病</w:t>
      </w:r>
      <w:r>
        <w:rPr>
          <w:rFonts w:ascii="Times New Roman" w:hAnsi="Times New Roman"/>
          <w:sz w:val="24"/>
        </w:rPr>
        <w:t>を公衆衛生上重要な感染症として挙げている [22, 23]。スクリーニングには、現在・過去の診断歴、治療抵抗性皮膚病変の病歴、ハンセン病の家族歴、および同疾患に合致する兆候と病変の身体診察が含まれる。</w:t>
      </w:r>
    </w:p>
    <w:p>
      <w:pPr>
        <w:spacing w:line="480" w:lineRule="auto" w:after="0"/>
      </w:pPr>
      <w:r>
        <w:rPr>
          <w:rFonts w:ascii="Times New Roman" w:hAnsi="Times New Roman"/>
          <w:b/>
          <w:sz w:val="24"/>
        </w:rPr>
        <w:t>ロシア</w:t>
      </w:r>
    </w:p>
    <w:p>
      <w:pPr>
        <w:spacing w:line="480" w:lineRule="auto" w:after="0"/>
      </w:pPr>
      <w:r>
        <w:rPr>
          <w:rFonts w:ascii="Times New Roman" w:hAnsi="Times New Roman"/>
          <w:sz w:val="24"/>
        </w:rPr>
        <w:t>連邦法第357-FZ号（2021年12月施行）は、ロシアに90日以上滞在する全外国人に対して、HIV、梅毒、結核、薬物使用と並んでハンセン病の検査を含む強制健康診断を3ヶ月ごとに受けることを義務付けている [24, 25, 26]。</w:t>
      </w:r>
    </w:p>
    <w:p>
      <w:pPr>
        <w:spacing w:line="480" w:lineRule="auto" w:after="0"/>
      </w:pPr>
      <w:r>
        <w:rPr>
          <w:rFonts w:ascii="Times New Roman" w:hAnsi="Times New Roman"/>
          <w:b/>
          <w:sz w:val="24"/>
        </w:rPr>
        <w:t>ティアB：歴史的制限の撤廃</w:t>
      </w:r>
    </w:p>
    <w:p>
      <w:pPr>
        <w:spacing w:line="480" w:lineRule="auto" w:after="0"/>
      </w:pPr>
      <w:r>
        <w:rPr>
          <w:rFonts w:ascii="Times New Roman" w:hAnsi="Times New Roman"/>
          <w:sz w:val="24"/>
        </w:rPr>
        <w:t>過去にハンセン病特異的入国管理制限を維持していたが、後に廃止・削除した4カ国を特定した（Table 2）。</w:t>
      </w:r>
    </w:p>
    <w:p>
      <w:pPr>
        <w:spacing w:line="480" w:lineRule="auto" w:after="0"/>
      </w:pPr>
      <w:r>
        <w:rPr>
          <w:rFonts w:ascii="Times New Roman" w:hAnsi="Times New Roman"/>
          <w:sz w:val="24"/>
        </w:rPr>
        <w:t>| Country | Former instrument | Year removed | Current status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w:t>
            </w:r>
          </w:p>
        </w:tc>
        <w:tc>
          <w:tcPr>
            <w:tcW w:type="dxa" w:w="2160"/>
          </w:tcPr>
          <w:p>
            <w:r>
              <w:rPr>
                <w:rFonts w:ascii="Times New Roman" w:hAnsi="Times New Roman"/>
                <w:b/>
                <w:sz w:val="16"/>
              </w:rPr>
              <w:t>------------------</w:t>
            </w:r>
          </w:p>
        </w:tc>
        <w:tc>
          <w:tcPr>
            <w:tcW w:type="dxa" w:w="2160"/>
          </w:tcPr>
          <w:p>
            <w:r>
              <w:rPr>
                <w:rFonts w:ascii="Times New Roman" w:hAnsi="Times New Roman"/>
                <w:b/>
                <w:sz w:val="16"/>
              </w:rPr>
              <w:t>-------------</w:t>
            </w:r>
          </w:p>
        </w:tc>
        <w:tc>
          <w:tcPr>
            <w:tcW w:type="dxa" w:w="2160"/>
          </w:tcPr>
          <w:p>
            <w:r>
              <w:rPr>
                <w:rFonts w:ascii="Times New Roman" w:hAnsi="Times New Roman"/>
                <w:b/>
                <w:sz w:val="16"/>
              </w:rPr>
              <w:t>---------------</w:t>
            </w:r>
          </w:p>
        </w:tc>
      </w:tr>
      <w:tr>
        <w:tc>
          <w:tcPr>
            <w:tcW w:type="dxa" w:w="2160"/>
          </w:tcPr>
          <w:p>
            <w:r>
              <w:rPr>
                <w:rFonts w:ascii="Times New Roman" w:hAnsi="Times New Roman"/>
                <w:sz w:val="16"/>
              </w:rPr>
              <w:t>United States</w:t>
            </w:r>
          </w:p>
        </w:tc>
        <w:tc>
          <w:tcPr>
            <w:tcW w:type="dxa" w:w="2160"/>
          </w:tcPr>
          <w:p>
            <w:r>
              <w:rPr>
                <w:rFonts w:ascii="Times New Roman" w:hAnsi="Times New Roman"/>
                <w:sz w:val="16"/>
              </w:rPr>
              <w:t>INA dangerous contagious diseases provision</w:t>
            </w:r>
          </w:p>
        </w:tc>
        <w:tc>
          <w:tcPr>
            <w:tcW w:type="dxa" w:w="2160"/>
          </w:tcPr>
          <w:p>
            <w:r>
              <w:rPr>
                <w:rFonts w:ascii="Times New Roman" w:hAnsi="Times New Roman"/>
                <w:sz w:val="16"/>
              </w:rPr>
              <w:t>1960s</w:t>
            </w:r>
          </w:p>
        </w:tc>
        <w:tc>
          <w:tcPr>
            <w:tcW w:type="dxa" w:w="2160"/>
          </w:tcPr>
          <w:p>
            <w:r>
              <w:rPr>
                <w:rFonts w:ascii="Times New Roman" w:hAnsi="Times New Roman"/>
                <w:sz w:val="16"/>
              </w:rPr>
              <w:t>CDC screening retains Hansen's disease for panel physicians</w:t>
            </w:r>
          </w:p>
        </w:tc>
      </w:tr>
      <w:tr>
        <w:tc>
          <w:tcPr>
            <w:tcW w:type="dxa" w:w="2160"/>
          </w:tcPr>
          <w:p>
            <w:r>
              <w:rPr>
                <w:rFonts w:ascii="Times New Roman" w:hAnsi="Times New Roman"/>
                <w:sz w:val="16"/>
              </w:rPr>
              <w:t>India</w:t>
            </w:r>
          </w:p>
        </w:tc>
        <w:tc>
          <w:tcPr>
            <w:tcW w:type="dxa" w:w="2160"/>
          </w:tcPr>
          <w:p>
            <w:r>
              <w:rPr>
                <w:rFonts w:ascii="Times New Roman" w:hAnsi="Times New Roman"/>
                <w:sz w:val="16"/>
              </w:rPr>
              <w:t>Lepers Act, 1898</w:t>
            </w:r>
          </w:p>
        </w:tc>
        <w:tc>
          <w:tcPr>
            <w:tcW w:type="dxa" w:w="2160"/>
          </w:tcPr>
          <w:p>
            <w:r>
              <w:rPr>
                <w:rFonts w:ascii="Times New Roman" w:hAnsi="Times New Roman"/>
                <w:sz w:val="16"/>
              </w:rPr>
              <w:t>2019 (repealed)</w:t>
            </w:r>
          </w:p>
        </w:tc>
        <w:tc>
          <w:tcPr>
            <w:tcW w:type="dxa" w:w="2160"/>
          </w:tcPr>
          <w:p>
            <w:r>
              <w:rPr>
                <w:rFonts w:ascii="Times New Roman" w:hAnsi="Times New Roman"/>
                <w:sz w:val="16"/>
              </w:rPr>
              <w:t>No leprosy-specific visa restriction</w:t>
            </w:r>
          </w:p>
        </w:tc>
      </w:tr>
      <w:tr>
        <w:tc>
          <w:tcPr>
            <w:tcW w:type="dxa" w:w="2160"/>
          </w:tcPr>
          <w:p>
            <w:r>
              <w:rPr>
                <w:rFonts w:ascii="Times New Roman" w:hAnsi="Times New Roman"/>
                <w:sz w:val="16"/>
              </w:rPr>
              <w:t>United Kingdom</w:t>
            </w:r>
          </w:p>
        </w:tc>
        <w:tc>
          <w:tcPr>
            <w:tcW w:type="dxa" w:w="2160"/>
          </w:tcPr>
          <w:p>
            <w:r>
              <w:rPr>
                <w:rFonts w:ascii="Times New Roman" w:hAnsi="Times New Roman"/>
                <w:sz w:val="16"/>
              </w:rPr>
              <w:t>Immigration Rules public health grounds</w:t>
            </w:r>
          </w:p>
        </w:tc>
        <w:tc>
          <w:tcPr>
            <w:tcW w:type="dxa" w:w="2160"/>
          </w:tcPr>
          <w:p>
            <w:r>
              <w:rPr>
                <w:rFonts w:ascii="Times New Roman" w:hAnsi="Times New Roman"/>
                <w:sz w:val="16"/>
              </w:rPr>
              <w:t>Circa 2000s</w:t>
            </w:r>
          </w:p>
        </w:tc>
        <w:tc>
          <w:tcPr>
            <w:tcW w:type="dxa" w:w="2160"/>
          </w:tcPr>
          <w:p>
            <w:r>
              <w:rPr>
                <w:rFonts w:ascii="Times New Roman" w:hAnsi="Times New Roman"/>
                <w:sz w:val="16"/>
              </w:rPr>
              <w:t>TB-only screening</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sz w:val="24"/>
        </w:rPr>
      </w:r>
      <w:r>
        <w:rPr>
          <w:rFonts w:ascii="Times New Roman" w:hAnsi="Times New Roman"/>
          <w:b/>
          <w:sz w:val="24"/>
        </w:rPr>
        <w:t>日本</w:t>
      </w:r>
      <w:r>
        <w:rPr>
          <w:rFonts w:ascii="Times New Roman" w:hAnsi="Times New Roman"/>
          <w:sz w:val="24"/>
        </w:rPr>
        <w:t>：らい予防法（1953年法律第214号）はハンセン病患者の強制隔離を義務付けていた。主に国内保健法であり入国管理制限ではないが、その効果はハンセン病患者の日本人・外国人双方の隔離を強制するものであった。同法は1996年4月1日に廃止された（法律第28号）。2001年、熊本地裁は同法の隔離規定を違憲と判断し、国に元患者への補償支払いを命じた [5,6]。現在の出入国管理及び難民認定法は入国拒否事由としてハンセン病を挙げていない [27]。</w:t>
      </w:r>
    </w:p>
    <w:p>
      <w:pPr>
        <w:spacing w:line="480" w:lineRule="auto" w:after="0"/>
      </w:pPr>
      <w:r>
        <w:rPr>
          <w:rFonts w:ascii="Times New Roman" w:hAnsi="Times New Roman"/>
          <w:sz w:val="24"/>
        </w:rPr>
      </w:r>
      <w:r>
        <w:rPr>
          <w:rFonts w:ascii="Times New Roman" w:hAnsi="Times New Roman"/>
          <w:b/>
          <w:sz w:val="24"/>
        </w:rPr>
        <w:t>米国</w:t>
      </w:r>
      <w:r>
        <w:rPr>
          <w:rFonts w:ascii="Times New Roman" w:hAnsi="Times New Roman"/>
          <w:sz w:val="24"/>
        </w:rPr>
        <w:t>：移民国籍法の下で、ハンセン病は歴史的に移民が排除される危険な伝染病の一つとして挙げられていた [7]。この規定は1960年代に削除された。現在もCDCのPanel Physician向け技術指示書は移民ビザ健康診断においてハンセン病を公衆衛生上重要な感染症として維持している [22, 23]。</w:t>
      </w:r>
    </w:p>
    <w:p>
      <w:pPr>
        <w:spacing w:line="480" w:lineRule="auto" w:after="0"/>
      </w:pPr>
      <w:r>
        <w:rPr>
          <w:rFonts w:ascii="Times New Roman" w:hAnsi="Times New Roman"/>
          <w:sz w:val="24"/>
        </w:rPr>
      </w:r>
      <w:r>
        <w:rPr>
          <w:rFonts w:ascii="Times New Roman" w:hAnsi="Times New Roman"/>
          <w:b/>
          <w:sz w:val="24"/>
        </w:rPr>
        <w:t>インド</w:t>
      </w:r>
      <w:r>
        <w:rPr>
          <w:rFonts w:ascii="Times New Roman" w:hAnsi="Times New Roman"/>
          <w:sz w:val="24"/>
        </w:rPr>
        <w:t>：1898年らい病患者法（Lepers Act）はハンセン病患者の隔離を規定していた。同法は2019年に廃止され、現在のインドのビザ医療要件はハンセン病を不適格事由として具体的に挙げていない [28]。</w:t>
      </w:r>
    </w:p>
    <w:p>
      <w:pPr>
        <w:spacing w:line="480" w:lineRule="auto" w:after="0"/>
      </w:pPr>
      <w:r>
        <w:rPr>
          <w:rFonts w:ascii="Times New Roman" w:hAnsi="Times New Roman"/>
          <w:sz w:val="24"/>
        </w:rPr>
      </w:r>
      <w:r>
        <w:rPr>
          <w:rFonts w:ascii="Times New Roman" w:hAnsi="Times New Roman"/>
          <w:b/>
          <w:sz w:val="24"/>
        </w:rPr>
        <w:t>英国</w:t>
      </w:r>
      <w:r>
        <w:rPr>
          <w:rFonts w:ascii="Times New Roman" w:hAnsi="Times New Roman"/>
          <w:sz w:val="24"/>
        </w:rPr>
        <w:t>：英国の移民規則は歴史的にハンセン病を公衆衛生上の理由で入国不適格となる可能性のある状態として挙げていた。健康診断要件の統合後、英国は現在（高発生国からの入国者に対する）結核スクリーニングのみを要求し、ハンセン病特異的制限は維持していない [29]。</w:t>
      </w:r>
    </w:p>
    <w:p>
      <w:pPr>
        <w:spacing w:line="480" w:lineRule="auto" w:after="0"/>
      </w:pPr>
      <w:r>
        <w:rPr>
          <w:rFonts w:ascii="Times New Roman" w:hAnsi="Times New Roman"/>
          <w:b/>
          <w:sz w:val="24"/>
        </w:rPr>
        <w:t>ティアC：一般的健康規定、疾患特異的リストなし</w:t>
      </w:r>
    </w:p>
    <w:p>
      <w:pPr>
        <w:spacing w:line="480" w:lineRule="auto" w:after="0"/>
      </w:pPr>
      <w:r>
        <w:rPr>
          <w:rFonts w:ascii="Times New Roman" w:hAnsi="Times New Roman"/>
          <w:sz w:val="24"/>
        </w:rPr>
        <w:t>The majority of high-income countries with available data fall into Tier C. These countries require medical examinations for certain categories of work visas or long-term residence but do not specifically list leprosy as a disqualifying condition (Table 3).</w:t>
      </w:r>
    </w:p>
    <w:p>
      <w:pPr>
        <w:spacing w:line="480" w:lineRule="auto" w:after="0"/>
      </w:pPr>
      <w:r>
        <w:rPr>
          <w:rFonts w:ascii="Times New Roman" w:hAnsi="Times New Roman"/>
          <w:sz w:val="24"/>
        </w:rPr>
        <w:t>| Country | Medical exam for work visa? | Basis for health refusal | Leprosy listed?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w:t>
            </w:r>
          </w:p>
        </w:tc>
        <w:tc>
          <w:tcPr>
            <w:tcW w:type="dxa" w:w="2160"/>
          </w:tcPr>
          <w:p>
            <w:r>
              <w:rPr>
                <w:rFonts w:ascii="Times New Roman" w:hAnsi="Times New Roman"/>
                <w:b/>
                <w:sz w:val="16"/>
              </w:rPr>
              <w:t>---------------------------</w:t>
            </w:r>
          </w:p>
        </w:tc>
        <w:tc>
          <w:tcPr>
            <w:tcW w:type="dxa" w:w="2160"/>
          </w:tcPr>
          <w:p>
            <w:r>
              <w:rPr>
                <w:rFonts w:ascii="Times New Roman" w:hAnsi="Times New Roman"/>
                <w:b/>
                <w:sz w:val="16"/>
              </w:rPr>
              <w:t>-------------------------</w:t>
            </w:r>
          </w:p>
        </w:tc>
        <w:tc>
          <w:tcPr>
            <w:tcW w:type="dxa" w:w="2160"/>
          </w:tcPr>
          <w:p>
            <w:r>
              <w:rPr>
                <w:rFonts w:ascii="Times New Roman" w:hAnsi="Times New Roman"/>
                <w:b/>
                <w:sz w:val="16"/>
              </w:rPr>
              <w:t>----------------</w:t>
            </w:r>
          </w:p>
        </w:tc>
      </w:tr>
      <w:tr>
        <w:tc>
          <w:tcPr>
            <w:tcW w:type="dxa" w:w="2160"/>
          </w:tcPr>
          <w:p>
            <w:r>
              <w:rPr>
                <w:rFonts w:ascii="Times New Roman" w:hAnsi="Times New Roman"/>
                <w:sz w:val="16"/>
              </w:rPr>
              <w:t>Australia</w:t>
            </w:r>
          </w:p>
        </w:tc>
        <w:tc>
          <w:tcPr>
            <w:tcW w:type="dxa" w:w="2160"/>
          </w:tcPr>
          <w:p>
            <w:r>
              <w:rPr>
                <w:rFonts w:ascii="Times New Roman" w:hAnsi="Times New Roman"/>
                <w:sz w:val="16"/>
              </w:rPr>
              <w:t>Yes (all applicants)</w:t>
            </w:r>
          </w:p>
        </w:tc>
        <w:tc>
          <w:tcPr>
            <w:tcW w:type="dxa" w:w="2160"/>
          </w:tcPr>
          <w:p>
            <w:r>
              <w:rPr>
                <w:rFonts w:ascii="Times New Roman" w:hAnsi="Times New Roman"/>
                <w:sz w:val="16"/>
              </w:rPr>
              <w:t>Public health risk (PIC 4005); healthcare cost</w:t>
            </w:r>
          </w:p>
        </w:tc>
        <w:tc>
          <w:tcPr>
            <w:tcW w:type="dxa" w:w="2160"/>
          </w:tcPr>
          <w:p>
            <w:r>
              <w:rPr>
                <w:rFonts w:ascii="Times New Roman" w:hAnsi="Times New Roman"/>
                <w:sz w:val="16"/>
              </w:rPr>
              <w:t>No</w:t>
            </w:r>
          </w:p>
        </w:tc>
      </w:tr>
      <w:tr>
        <w:tc>
          <w:tcPr>
            <w:tcW w:type="dxa" w:w="2160"/>
          </w:tcPr>
          <w:p>
            <w:r>
              <w:rPr>
                <w:rFonts w:ascii="Times New Roman" w:hAnsi="Times New Roman"/>
                <w:sz w:val="16"/>
              </w:rPr>
              <w:t>New Zealand</w:t>
            </w:r>
          </w:p>
        </w:tc>
        <w:tc>
          <w:tcPr>
            <w:tcW w:type="dxa" w:w="2160"/>
          </w:tcPr>
          <w:p>
            <w:r>
              <w:rPr>
                <w:rFonts w:ascii="Times New Roman" w:hAnsi="Times New Roman"/>
                <w:sz w:val="16"/>
              </w:rPr>
              <w:t>Yes (&gt;12 months)</w:t>
            </w:r>
          </w:p>
        </w:tc>
        <w:tc>
          <w:tcPr>
            <w:tcW w:type="dxa" w:w="2160"/>
          </w:tcPr>
          <w:p>
            <w:r>
              <w:rPr>
                <w:rFonts w:ascii="Times New Roman" w:hAnsi="Times New Roman"/>
                <w:sz w:val="16"/>
              </w:rPr>
              <w:t>Acceptable standard of health</w:t>
            </w:r>
          </w:p>
        </w:tc>
        <w:tc>
          <w:tcPr>
            <w:tcW w:type="dxa" w:w="2160"/>
          </w:tcPr>
          <w:p>
            <w:r>
              <w:rPr>
                <w:rFonts w:ascii="Times New Roman" w:hAnsi="Times New Roman"/>
                <w:sz w:val="16"/>
              </w:rPr>
              <w:t>No</w:t>
            </w:r>
          </w:p>
        </w:tc>
      </w:tr>
      <w:tr>
        <w:tc>
          <w:tcPr>
            <w:tcW w:type="dxa" w:w="2160"/>
          </w:tcPr>
          <w:p>
            <w:r>
              <w:rPr>
                <w:rFonts w:ascii="Times New Roman" w:hAnsi="Times New Roman"/>
                <w:sz w:val="16"/>
              </w:rPr>
              <w:t>Germany</w:t>
            </w:r>
          </w:p>
        </w:tc>
        <w:tc>
          <w:tcPr>
            <w:tcW w:type="dxa" w:w="2160"/>
          </w:tcPr>
          <w:p>
            <w:r>
              <w:rPr>
                <w:rFonts w:ascii="Times New Roman" w:hAnsi="Times New Roman"/>
                <w:sz w:val="16"/>
              </w:rPr>
              <w:t>No (most cases)</w:t>
            </w:r>
          </w:p>
        </w:tc>
        <w:tc>
          <w:tcPr>
            <w:tcW w:type="dxa" w:w="2160"/>
          </w:tcPr>
          <w:p>
            <w:r>
              <w:rPr>
                <w:rFonts w:ascii="Times New Roman" w:hAnsi="Times New Roman"/>
                <w:sz w:val="16"/>
              </w:rPr>
              <w:t>Residence Act general provisions</w:t>
            </w:r>
          </w:p>
        </w:tc>
        <w:tc>
          <w:tcPr>
            <w:tcW w:type="dxa" w:w="2160"/>
          </w:tcPr>
          <w:p>
            <w:r>
              <w:rPr>
                <w:rFonts w:ascii="Times New Roman" w:hAnsi="Times New Roman"/>
                <w:sz w:val="16"/>
              </w:rPr>
              <w:t>No</w:t>
            </w:r>
          </w:p>
        </w:tc>
      </w:tr>
      <w:tr>
        <w:tc>
          <w:tcPr>
            <w:tcW w:type="dxa" w:w="2160"/>
          </w:tcPr>
          <w:p>
            <w:r>
              <w:rPr>
                <w:rFonts w:ascii="Times New Roman" w:hAnsi="Times New Roman"/>
                <w:sz w:val="16"/>
              </w:rPr>
              <w:t>France</w:t>
            </w:r>
          </w:p>
        </w:tc>
        <w:tc>
          <w:tcPr>
            <w:tcW w:type="dxa" w:w="2160"/>
          </w:tcPr>
          <w:p>
            <w:r>
              <w:rPr>
                <w:rFonts w:ascii="Times New Roman" w:hAnsi="Times New Roman"/>
                <w:sz w:val="16"/>
              </w:rPr>
              <w:t>Yes (long-stay, OFII)</w:t>
            </w:r>
          </w:p>
        </w:tc>
        <w:tc>
          <w:tcPr>
            <w:tcW w:type="dxa" w:w="2160"/>
          </w:tcPr>
          <w:p>
            <w:r>
              <w:rPr>
                <w:rFonts w:ascii="Times New Roman" w:hAnsi="Times New Roman"/>
                <w:sz w:val="16"/>
              </w:rPr>
              <w:t>General medical fitness</w:t>
            </w:r>
          </w:p>
        </w:tc>
        <w:tc>
          <w:tcPr>
            <w:tcW w:type="dxa" w:w="2160"/>
          </w:tcPr>
          <w:p>
            <w:r>
              <w:rPr>
                <w:rFonts w:ascii="Times New Roman" w:hAnsi="Times New Roman"/>
                <w:sz w:val="16"/>
              </w:rPr>
              <w:t>No</w:t>
            </w:r>
          </w:p>
        </w:tc>
      </w:tr>
      <w:tr>
        <w:tc>
          <w:tcPr>
            <w:tcW w:type="dxa" w:w="2160"/>
          </w:tcPr>
          <w:p>
            <w:r>
              <w:rPr>
                <w:rFonts w:ascii="Times New Roman" w:hAnsi="Times New Roman"/>
                <w:sz w:val="16"/>
              </w:rPr>
              <w:t>South Korea</w:t>
            </w:r>
          </w:p>
        </w:tc>
        <w:tc>
          <w:tcPr>
            <w:tcW w:type="dxa" w:w="2160"/>
          </w:tcPr>
          <w:p>
            <w:r>
              <w:rPr>
                <w:rFonts w:ascii="Times New Roman" w:hAnsi="Times New Roman"/>
                <w:sz w:val="16"/>
              </w:rPr>
              <w:t>Yes (E-9 visa)</w:t>
            </w:r>
          </w:p>
        </w:tc>
        <w:tc>
          <w:tcPr>
            <w:tcW w:type="dxa" w:w="2160"/>
          </w:tcPr>
          <w:p>
            <w:r>
              <w:rPr>
                <w:rFonts w:ascii="Times New Roman" w:hAnsi="Times New Roman"/>
                <w:sz w:val="16"/>
              </w:rPr>
              <w:t>TB screening only</w:t>
            </w:r>
          </w:p>
        </w:tc>
        <w:tc>
          <w:tcPr>
            <w:tcW w:type="dxa" w:w="2160"/>
          </w:tcPr>
          <w:p>
            <w:r>
              <w:rPr>
                <w:rFonts w:ascii="Times New Roman" w:hAnsi="Times New Roman"/>
                <w:sz w:val="16"/>
              </w:rPr>
              <w:t>No</w:t>
            </w:r>
          </w:p>
        </w:tc>
      </w:tr>
      <w:tr>
        <w:tc>
          <w:tcPr>
            <w:tcW w:type="dxa" w:w="2160"/>
          </w:tcPr>
          <w:p>
            <w:r>
              <w:rPr>
                <w:rFonts w:ascii="Times New Roman" w:hAnsi="Times New Roman"/>
                <w:sz w:val="16"/>
              </w:rPr>
              <w:t>Singapore</w:t>
            </w:r>
          </w:p>
        </w:tc>
        <w:tc>
          <w:tcPr>
            <w:tcW w:type="dxa" w:w="2160"/>
          </w:tcPr>
          <w:p>
            <w:r>
              <w:rPr>
                <w:rFonts w:ascii="Times New Roman" w:hAnsi="Times New Roman"/>
                <w:sz w:val="16"/>
              </w:rPr>
              <w:t>Yes (Employment Pass)</w:t>
            </w:r>
          </w:p>
        </w:tc>
        <w:tc>
          <w:tcPr>
            <w:tcW w:type="dxa" w:w="2160"/>
          </w:tcPr>
          <w:p>
            <w:r>
              <w:rPr>
                <w:rFonts w:ascii="Times New Roman" w:hAnsi="Times New Roman"/>
                <w:sz w:val="16"/>
              </w:rPr>
              <w:t>HIV, TB, malaria screening</w:t>
            </w:r>
          </w:p>
        </w:tc>
        <w:tc>
          <w:tcPr>
            <w:tcW w:type="dxa" w:w="2160"/>
          </w:tcPr>
          <w:p>
            <w:r>
              <w:rPr>
                <w:rFonts w:ascii="Times New Roman" w:hAnsi="Times New Roman"/>
                <w:sz w:val="16"/>
              </w:rPr>
              <w:t>No</w:t>
            </w:r>
          </w:p>
        </w:tc>
      </w:tr>
      <w:tr>
        <w:tc>
          <w:tcPr>
            <w:tcW w:type="dxa" w:w="2160"/>
          </w:tcPr>
          <w:p>
            <w:r>
              <w:rPr>
                <w:rFonts w:ascii="Times New Roman" w:hAnsi="Times New Roman"/>
                <w:sz w:val="16"/>
              </w:rPr>
              <w:t>Japan</w:t>
            </w:r>
          </w:p>
        </w:tc>
        <w:tc>
          <w:tcPr>
            <w:tcW w:type="dxa" w:w="2160"/>
          </w:tcPr>
          <w:p>
            <w:r>
              <w:rPr>
                <w:rFonts w:ascii="Times New Roman" w:hAnsi="Times New Roman"/>
                <w:sz w:val="16"/>
              </w:rPr>
              <w:t>No (most work visas)</w:t>
            </w:r>
          </w:p>
        </w:tc>
        <w:tc>
          <w:tcPr>
            <w:tcW w:type="dxa" w:w="2160"/>
          </w:tcPr>
          <w:p>
            <w:r>
              <w:rPr>
                <w:rFonts w:ascii="Times New Roman" w:hAnsi="Times New Roman"/>
                <w:sz w:val="16"/>
              </w:rPr>
              <w:t>No routine medical screening for visa</w:t>
            </w:r>
          </w:p>
        </w:tc>
        <w:tc>
          <w:tcPr>
            <w:tcW w:type="dxa" w:w="2160"/>
          </w:tcPr>
          <w:p>
            <w:r>
              <w:rPr>
                <w:rFonts w:ascii="Times New Roman" w:hAnsi="Times New Roman"/>
                <w:sz w:val="16"/>
              </w:rPr>
              <w:t>No</w:t>
            </w:r>
          </w:p>
        </w:tc>
      </w:tr>
      <w:tr>
        <w:tc>
          <w:tcPr>
            <w:tcW w:type="dxa" w:w="2160"/>
          </w:tcPr>
          <w:p>
            <w:r>
              <w:rPr>
                <w:rFonts w:ascii="Times New Roman" w:hAnsi="Times New Roman"/>
                <w:sz w:val="16"/>
              </w:rPr>
              <w:t>United Kingdom</w:t>
            </w:r>
          </w:p>
        </w:tc>
        <w:tc>
          <w:tcPr>
            <w:tcW w:type="dxa" w:w="2160"/>
          </w:tcPr>
          <w:p>
            <w:r>
              <w:rPr>
                <w:rFonts w:ascii="Times New Roman" w:hAnsi="Times New Roman"/>
                <w:sz w:val="16"/>
              </w:rPr>
              <w:t>Yes (TB for high-risk countries)</w:t>
            </w:r>
          </w:p>
        </w:tc>
        <w:tc>
          <w:tcPr>
            <w:tcW w:type="dxa" w:w="2160"/>
          </w:tcPr>
          <w:p>
            <w:r>
              <w:rPr>
                <w:rFonts w:ascii="Times New Roman" w:hAnsi="Times New Roman"/>
                <w:sz w:val="16"/>
              </w:rPr>
              <w:t>TB screening only</w:t>
            </w:r>
          </w:p>
        </w:tc>
        <w:tc>
          <w:tcPr>
            <w:tcW w:type="dxa" w:w="2160"/>
          </w:tcPr>
          <w:p>
            <w:r>
              <w:rPr>
                <w:rFonts w:ascii="Times New Roman" w:hAnsi="Times New Roman"/>
                <w:sz w:val="16"/>
              </w:rPr>
              <w:t>No</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sz w:val="24"/>
        </w:rPr>
      </w:r>
      <w:r>
        <w:rPr>
          <w:rFonts w:ascii="Times New Roman" w:hAnsi="Times New Roman"/>
          <w:b/>
          <w:sz w:val="24"/>
        </w:rPr>
        <w:t>Canada</w:t>
      </w:r>
      <w:r>
        <w:rPr>
          <w:rFonts w:ascii="Times New Roman" w:hAnsi="Times New Roman"/>
          <w:sz w:val="24"/>
        </w:rPr>
        <w:t>: Immigration medical examinations assess whether a foreign national poses a risk to public health or public safety, or might cause excessive demand on health or social services. The list of public health risks is limited to tuberculosis, and leprosy is not specifically mentioned [30].</w:t>
      </w:r>
    </w:p>
    <w:p>
      <w:pPr>
        <w:spacing w:line="480" w:lineRule="auto" w:after="0"/>
      </w:pPr>
      <w:r>
        <w:rPr>
          <w:rFonts w:ascii="Times New Roman" w:hAnsi="Times New Roman"/>
          <w:sz w:val="24"/>
        </w:rPr>
      </w:r>
      <w:r>
        <w:rPr>
          <w:rFonts w:ascii="Times New Roman" w:hAnsi="Times New Roman"/>
          <w:b/>
          <w:sz w:val="24"/>
        </w:rPr>
        <w:t>Australia</w:t>
      </w:r>
      <w:r>
        <w:rPr>
          <w:rFonts w:ascii="Times New Roman" w:hAnsi="Times New Roman"/>
          <w:sz w:val="24"/>
        </w:rPr>
        <w:t>: All visa applicants must meet health requirements designed to protect the Australian community from public health risks (primarily tuberculosis) and to contain public expenditure on healthcare. Leprosy is not specifically listed [31].</w:t>
      </w:r>
    </w:p>
    <w:p>
      <w:pPr>
        <w:spacing w:line="480" w:lineRule="auto" w:after="0"/>
      </w:pPr>
      <w:r>
        <w:rPr>
          <w:rFonts w:ascii="Times New Roman" w:hAnsi="Times New Roman"/>
          <w:sz w:val="24"/>
        </w:rPr>
      </w:r>
      <w:r>
        <w:rPr>
          <w:rFonts w:ascii="Times New Roman" w:hAnsi="Times New Roman"/>
          <w:b/>
          <w:sz w:val="24"/>
        </w:rPr>
        <w:t>Germany</w:t>
      </w:r>
      <w:r>
        <w:rPr>
          <w:rFonts w:ascii="Times New Roman" w:hAnsi="Times New Roman"/>
          <w:sz w:val="24"/>
        </w:rPr>
        <w:t>: The EU Blue Card and most work residence permits do not require a medical examination unless the applicant will work in certain sectors (e.g., healthcare or food handling). No leprosy-specific provisions have been identified [32].</w:t>
      </w:r>
    </w:p>
    <w:p>
      <w:pPr>
        <w:spacing w:line="480" w:lineRule="auto" w:after="0"/>
      </w:pPr>
      <w:r>
        <w:rPr>
          <w:rFonts w:ascii="Times New Roman" w:hAnsi="Times New Roman"/>
          <w:sz w:val="24"/>
        </w:rPr>
      </w:r>
      <w:r>
        <w:rPr>
          <w:rFonts w:ascii="Times New Roman" w:hAnsi="Times New Roman"/>
          <w:b/>
          <w:sz w:val="24"/>
        </w:rPr>
        <w:t>France</w:t>
      </w:r>
      <w:r>
        <w:rPr>
          <w:rFonts w:ascii="Times New Roman" w:hAnsi="Times New Roman"/>
          <w:sz w:val="24"/>
        </w:rPr>
        <w:t>: Long-stay visa applicants may be required to undergo a medical examination through the French Office of Immigration and Integration (OFII), but leprosy is not listed among reportable conditions.</w:t>
      </w:r>
    </w:p>
    <w:p>
      <w:pPr>
        <w:spacing w:line="480" w:lineRule="auto" w:after="0"/>
      </w:pPr>
      <w:r>
        <w:rPr>
          <w:rFonts w:ascii="Times New Roman" w:hAnsi="Times New Roman"/>
          <w:b/>
          <w:sz w:val="24"/>
        </w:rPr>
        <w:t>比較：日本と南アフリカ</w:t>
      </w:r>
    </w:p>
    <w:p>
      <w:pPr>
        <w:spacing w:line="480" w:lineRule="auto" w:after="0"/>
      </w:pPr>
      <w:r>
        <w:rPr>
          <w:rFonts w:ascii="Times New Roman" w:hAnsi="Times New Roman"/>
          <w:sz w:val="24"/>
        </w:rPr>
        <w:t>Japan's Leprosy Prevention Law framework and South Africa's current immigration regulations represent two distinct models of state-imposed leprosy restriction (Table 4). Japan's law was a domestic public health measure targeting all persons within its territory, whereas South Africa's provision is an immigration control measure targeting foreign nationals. Both lack a sound medical basis, but Japan's law has been repealed and declared unconstitutional, while South Africa's remains in force.</w:t>
      </w:r>
    </w:p>
    <w:p>
      <w:pPr>
        <w:spacing w:line="480" w:lineRule="auto" w:after="0"/>
      </w:pPr>
      <w:r>
        <w:rPr>
          <w:rFonts w:ascii="Times New Roman" w:hAnsi="Times New Roman"/>
          <w:sz w:val="24"/>
        </w:rPr>
        <w:t>| Dimension | Japan | South Africa |</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6"/>
              </w:rPr>
              <w:t>-----------</w:t>
            </w:r>
          </w:p>
        </w:tc>
        <w:tc>
          <w:tcPr>
            <w:tcW w:type="dxa" w:w="2880"/>
          </w:tcPr>
          <w:p>
            <w:r>
              <w:rPr>
                <w:rFonts w:ascii="Times New Roman" w:hAnsi="Times New Roman"/>
                <w:b/>
                <w:sz w:val="16"/>
              </w:rPr>
              <w:t>-------</w:t>
            </w:r>
          </w:p>
        </w:tc>
        <w:tc>
          <w:tcPr>
            <w:tcW w:type="dxa" w:w="2880"/>
          </w:tcPr>
          <w:p>
            <w:r>
              <w:rPr>
                <w:rFonts w:ascii="Times New Roman" w:hAnsi="Times New Roman"/>
                <w:b/>
                <w:sz w:val="16"/>
              </w:rPr>
              <w:t>-------------</w:t>
            </w:r>
          </w:p>
        </w:tc>
      </w:tr>
      <w:tr>
        <w:tc>
          <w:tcPr>
            <w:tcW w:type="dxa" w:w="2880"/>
          </w:tcPr>
          <w:p>
            <w:r>
              <w:rPr>
                <w:rFonts w:ascii="Times New Roman" w:hAnsi="Times New Roman"/>
                <w:sz w:val="16"/>
              </w:rPr>
              <w:t>Target population</w:t>
            </w:r>
          </w:p>
        </w:tc>
        <w:tc>
          <w:tcPr>
            <w:tcW w:type="dxa" w:w="2880"/>
          </w:tcPr>
          <w:p>
            <w:r>
              <w:rPr>
                <w:rFonts w:ascii="Times New Roman" w:hAnsi="Times New Roman"/>
                <w:sz w:val="16"/>
              </w:rPr>
              <w:t>All persons in Japan</w:t>
            </w:r>
          </w:p>
        </w:tc>
        <w:tc>
          <w:tcPr>
            <w:tcW w:type="dxa" w:w="2880"/>
          </w:tcPr>
          <w:p>
            <w:r>
              <w:rPr>
                <w:rFonts w:ascii="Times New Roman" w:hAnsi="Times New Roman"/>
                <w:sz w:val="16"/>
              </w:rPr>
              <w:t>Foreign nationals</w:t>
            </w:r>
          </w:p>
        </w:tc>
      </w:tr>
      <w:tr>
        <w:tc>
          <w:tcPr>
            <w:tcW w:type="dxa" w:w="2880"/>
          </w:tcPr>
          <w:p>
            <w:r>
              <w:rPr>
                <w:rFonts w:ascii="Times New Roman" w:hAnsi="Times New Roman"/>
                <w:sz w:val="16"/>
              </w:rPr>
              <w:t>Nature of restriction</w:t>
            </w:r>
          </w:p>
        </w:tc>
        <w:tc>
          <w:tcPr>
            <w:tcW w:type="dxa" w:w="2880"/>
          </w:tcPr>
          <w:p>
            <w:r>
              <w:rPr>
                <w:rFonts w:ascii="Times New Roman" w:hAnsi="Times New Roman"/>
                <w:sz w:val="16"/>
              </w:rPr>
              <w:t>Compulsory isolation</w:t>
            </w:r>
          </w:p>
        </w:tc>
        <w:tc>
          <w:tcPr>
            <w:tcW w:type="dxa" w:w="2880"/>
          </w:tcPr>
          <w:p>
            <w:r>
              <w:rPr>
                <w:rFonts w:ascii="Times New Roman" w:hAnsi="Times New Roman"/>
                <w:sz w:val="16"/>
              </w:rPr>
              <w:t>Visa refusal for controllable disease</w:t>
            </w:r>
          </w:p>
        </w:tc>
      </w:tr>
      <w:tr>
        <w:tc>
          <w:tcPr>
            <w:tcW w:type="dxa" w:w="2880"/>
          </w:tcPr>
          <w:p>
            <w:r>
              <w:rPr>
                <w:rFonts w:ascii="Times New Roman" w:hAnsi="Times New Roman"/>
                <w:sz w:val="16"/>
              </w:rPr>
              <w:t>Duration</w:t>
            </w:r>
          </w:p>
        </w:tc>
        <w:tc>
          <w:tcPr>
            <w:tcW w:type="dxa" w:w="2880"/>
          </w:tcPr>
          <w:p>
            <w:r>
              <w:rPr>
                <w:rFonts w:ascii="Times New Roman" w:hAnsi="Times New Roman"/>
                <w:sz w:val="16"/>
              </w:rPr>
              <w:t>1907-1996 (approx. 90 years)</w:t>
            </w:r>
          </w:p>
        </w:tc>
        <w:tc>
          <w:tcPr>
            <w:tcW w:type="dxa" w:w="2880"/>
          </w:tcPr>
          <w:p>
            <w:r>
              <w:rPr>
                <w:rFonts w:ascii="Times New Roman" w:hAnsi="Times New Roman"/>
                <w:sz w:val="16"/>
              </w:rPr>
              <w:t>Currently in force</w:t>
            </w:r>
          </w:p>
        </w:tc>
      </w:tr>
      <w:tr>
        <w:tc>
          <w:tcPr>
            <w:tcW w:type="dxa" w:w="2880"/>
          </w:tcPr>
          <w:p>
            <w:r>
              <w:rPr>
                <w:rFonts w:ascii="Times New Roman" w:hAnsi="Times New Roman"/>
                <w:sz w:val="16"/>
              </w:rPr>
              <w:t>Current legal status</w:t>
            </w:r>
          </w:p>
        </w:tc>
        <w:tc>
          <w:tcPr>
            <w:tcW w:type="dxa" w:w="2880"/>
          </w:tcPr>
          <w:p>
            <w:r>
              <w:rPr>
                <w:rFonts w:ascii="Times New Roman" w:hAnsi="Times New Roman"/>
                <w:sz w:val="16"/>
              </w:rPr>
              <w:t>Repealed; unconstitutional</w:t>
            </w:r>
          </w:p>
        </w:tc>
        <w:tc>
          <w:tcPr>
            <w:tcW w:type="dxa" w:w="2880"/>
          </w:tcPr>
          <w:p>
            <w:r>
              <w:rPr>
                <w:rFonts w:ascii="Times New Roman" w:hAnsi="Times New Roman"/>
                <w:sz w:val="16"/>
              </w:rPr>
              <w:t>In force; no known challenge</w:t>
            </w:r>
          </w:p>
        </w:tc>
      </w:tr>
      <w:tr>
        <w:tc>
          <w:tcPr>
            <w:tcW w:type="dxa" w:w="2880"/>
          </w:tcPr>
          <w:p>
            <w:r>
              <w:rPr>
                <w:rFonts w:ascii="Times New Roman" w:hAnsi="Times New Roman"/>
                <w:sz w:val="16"/>
              </w:rPr>
              <w:t>Human rights remedy</w:t>
            </w:r>
          </w:p>
        </w:tc>
        <w:tc>
          <w:tcPr>
            <w:tcW w:type="dxa" w:w="2880"/>
          </w:tcPr>
          <w:p>
            <w:r>
              <w:rPr>
                <w:rFonts w:ascii="Times New Roman" w:hAnsi="Times New Roman"/>
                <w:sz w:val="16"/>
              </w:rPr>
              <w:t>Compensation; apology</w:t>
            </w:r>
          </w:p>
        </w:tc>
        <w:tc>
          <w:tcPr>
            <w:tcW w:type="dxa" w:w="2880"/>
          </w:tcPr>
          <w:p>
            <w:r>
              <w:rPr>
                <w:rFonts w:ascii="Times New Roman" w:hAnsi="Times New Roman"/>
                <w:sz w:val="16"/>
              </w:rPr>
              <w:t>None identified</w:t>
            </w:r>
          </w:p>
        </w:tc>
      </w:tr>
    </w:tbl>
    <w:p>
      <w:pPr>
        <w:spacing w:line="480" w:lineRule="auto" w:after="0"/>
      </w:pPr>
      <w:r>
        <w:rPr>
          <w:rFonts w:ascii="Times New Roman" w:hAnsi="Times New Roman"/>
          <w:b w:val="0"/>
          <w:i w:val="0"/>
          <w:sz w:val="24"/>
        </w:rPr>
      </w:r>
    </w:p>
    <w:p>
      <w:pPr>
        <w:spacing w:line="480" w:lineRule="auto" w:after="0"/>
      </w:pPr>
      <w:r>
        <w:rPr>
          <w:rFonts w:ascii="Times New Roman" w:hAnsi="Times New Roman"/>
          <w:sz w:val="24"/>
        </w:rPr>
        <w:t>## Author contributions</w:t>
      </w:r>
    </w:p>
    <w:p>
      <w:pPr>
        <w:spacing w:line="480" w:lineRule="auto" w:after="0"/>
      </w:pPr>
      <w:r>
        <w:rPr>
          <w:rFonts w:ascii="Times New Roman" w:hAnsi="Times New Roman"/>
          <w:sz w:val="24"/>
        </w:rPr>
        <w:t>## Data availability statement</w:t>
      </w:r>
    </w:p>
    <w:p>
      <w:pPr>
        <w:spacing w:line="480" w:lineRule="auto" w:after="0"/>
      </w:pPr>
      <w:r>
        <w:rPr>
          <w:rFonts w:ascii="Times New Roman" w:hAnsi="Times New Roman"/>
          <w:sz w:val="24"/>
        </w:rPr>
        <w:t>All data extracted for this review are presented in the manuscript and supporting information files.</w:t>
      </w:r>
    </w:p>
    <w:p>
      <w:pPr>
        <w:spacing w:line="480" w:lineRule="auto" w:after="0"/>
      </w:pPr>
      <w:r>
        <w:rPr>
          <w:rFonts w:ascii="Times New Roman" w:hAnsi="Times New Roman"/>
          <w:sz w:val="24"/>
        </w:rPr>
        <w:t>## Financial disclosure statement</w:t>
      </w:r>
    </w:p>
    <w:p>
      <w:pPr>
        <w:spacing w:line="480" w:lineRule="auto" w:after="0"/>
      </w:pPr>
      <w:r>
        <w:rPr>
          <w:rFonts w:ascii="Times New Roman" w:hAnsi="Times New Roman"/>
          <w:sz w:val="24"/>
        </w:rPr>
        <w:t>## Competing interests statement</w:t>
      </w:r>
    </w:p>
    <w:p>
      <w:pPr>
        <w:spacing w:line="480" w:lineRule="auto" w:after="0"/>
      </w:pPr>
      <w:r>
        <w:rPr>
          <w:rFonts w:ascii="Times New Roman" w:hAnsi="Times New Roman"/>
          <w:sz w:val="24"/>
        </w:rPr>
        <w:t>The authors have declared that no competing interests exist.</w:t>
      </w:r>
    </w:p>
    <w:p>
      <w:pPr>
        <w:pStyle w:val="Heading1"/>
        <w:spacing w:line="480" w:lineRule="auto" w:before="240" w:after="120"/>
      </w:pPr>
      <w:r>
        <w:rPr>
          <w:rFonts w:ascii="Times New Roman" w:hAnsi="Times New Roman"/>
          <w:color w:val="000000"/>
        </w:rPr>
        <w:t>Discussion</w:t>
      </w:r>
    </w:p>
    <w:p>
      <w:pPr>
        <w:spacing w:line="480" w:lineRule="auto" w:after="0"/>
      </w:pPr>
      <w:r>
        <w:rPr>
          <w:rFonts w:ascii="Times New Roman" w:hAnsi="Times New Roman"/>
          <w:b/>
          <w:sz w:val="24"/>
        </w:rPr>
        <w:t>主な知見</w:t>
      </w:r>
    </w:p>
    <w:p>
      <w:pPr>
        <w:spacing w:line="480" w:lineRule="auto" w:after="0"/>
      </w:pPr>
      <w:r>
        <w:rPr>
          <w:rFonts w:ascii="Times New Roman" w:hAnsi="Times New Roman"/>
          <w:sz w:val="24"/>
        </w:rPr>
        <w:t>This scoping review provides the first systematic global mapping of leprosy-specific labour visa restrictions. We identified 12 countries that currently maintain statutory or regulatory provisions listing leprosy as a ground for visa or residence restriction: the six GCC states (Saudi Arabia, Qatar, Kuwait, United Arab Emirates, Bahrain, Oman), South Africa, Thailand, Taiwan, the Philippines, the United States, and Russia. We identified 3 countries -- Japan, India, and the United Kingdom -- that have abolished such provisions. A large majority of countries (77.9%) could not be categorized due to insufficient data.</w:t>
      </w:r>
    </w:p>
    <w:p>
      <w:pPr>
        <w:spacing w:line="480" w:lineRule="auto" w:after="0"/>
      </w:pPr>
      <w:r>
        <w:rPr>
          <w:rFonts w:ascii="Times New Roman" w:hAnsi="Times New Roman"/>
          <w:b/>
          <w:sz w:val="24"/>
        </w:rPr>
        <w:t>解釈と含意</w:t>
      </w:r>
    </w:p>
    <w:p>
      <w:pPr>
        <w:spacing w:line="480" w:lineRule="auto" w:after="0"/>
      </w:pPr>
      <w:r>
        <w:rPr>
          <w:rFonts w:ascii="Times New Roman" w:hAnsi="Times New Roman"/>
          <w:sz w:val="24"/>
        </w:rPr>
        <w:t>The persistence of leprosy-specific immigration restrictions has several implications. First, these provisions contradict well-established medical evidence. Leprosy is not a quarantinable disease under the IHR (2005) [8]; MDT renders patients non-infectious within days to weeks of commencing treatment [2]; and the risk of transmission is negligible in occupational or social settings. No public health rationale supports restricting the entry or employment of persons with leprosy.</w:t>
      </w:r>
    </w:p>
    <w:p>
      <w:pPr>
        <w:spacing w:line="480" w:lineRule="auto" w:after="0"/>
      </w:pPr>
      <w:r>
        <w:rPr>
          <w:rFonts w:ascii="Times New Roman" w:hAnsi="Times New Roman"/>
          <w:sz w:val="24"/>
        </w:rPr>
        <w:t>Second, these provisions may reinforce stigma. Leprosy is among the most stigmatized diseases in human history [4]. The inclusion of leprosy in immigration screening lists sends a signal that persons with leprosy are dangerous or undesirable, perpetuating misconceptions that undermine elimination efforts.</w:t>
      </w:r>
    </w:p>
    <w:p>
      <w:pPr>
        <w:spacing w:line="480" w:lineRule="auto" w:after="0"/>
      </w:pPr>
      <w:r>
        <w:rPr>
          <w:rFonts w:ascii="Times New Roman" w:hAnsi="Times New Roman"/>
          <w:sz w:val="24"/>
        </w:rPr>
        <w:t>Third, the patchwork of Tier A countries suggests a geographic and economic pattern. The GCC states are high-income oil-exporting nations whose labour markets depend heavily on migrant workers; their unified medical screening framework subjects millions of expatriate workers to leprosy screening. South Africa, Thailand, Taiwan, the Philippines, and Russia are upper-middle-income countries, while the United States is a high-income country. This diversity indicates that leprosy-related visa restrictions are not confined to a particular income level but rather reflect varied historical and administrative trajectories.</w:t>
      </w:r>
    </w:p>
    <w:p>
      <w:pPr>
        <w:spacing w:line="480" w:lineRule="auto" w:after="0"/>
      </w:pPr>
      <w:r>
        <w:rPr>
          <w:rFonts w:ascii="Times New Roman" w:hAnsi="Times New Roman"/>
          <w:sz w:val="24"/>
        </w:rPr>
        <w:t>The Japanese example offers instructive lessons. Japan's Leprosy Prevention Law persisted for 43 years after curative treatment became available [6]. Its repeal in 1996 and the subsequent constitutional ruling in 2001 demonstrate that legal reform is achievable even for deeply entrenched provisions. The Japanese experience also highlights the importance of patient advocacy and judicial review in challenging medically unjustified restrictions.</w:t>
      </w:r>
    </w:p>
    <w:p>
      <w:pPr>
        <w:spacing w:line="480" w:lineRule="auto" w:after="0"/>
      </w:pPr>
      <w:r>
        <w:rPr>
          <w:rFonts w:ascii="Times New Roman" w:hAnsi="Times New Roman"/>
          <w:b/>
          <w:sz w:val="24"/>
        </w:rPr>
        <w:t>他の疾患特異的入国管理制限との比較</w:t>
      </w:r>
    </w:p>
    <w:p>
      <w:pPr>
        <w:spacing w:line="480" w:lineRule="auto" w:after="0"/>
      </w:pPr>
      <w:r>
        <w:rPr>
          <w:rFonts w:ascii="Times New Roman" w:hAnsi="Times New Roman"/>
          <w:sz w:val="24"/>
        </w:rPr>
        <w:t>The trajectory of leprosy-related immigration restrictions parallels that of HIV/AIDS restrictions. Until the 2000s, dozens of countries explicitly barred entry or residence by persons living with HIV [9]. The United States lifted its HIV travel ban in 2010, and South Africa repealed its HIV-related immigration restrictions in 2008. Today, few countries maintain HIV-specific travel restrictions, and those that do face sustained criticism from UNAIDS and human rights organizations [33]. Leprosy-related restrictions have attracted far less attention, perhaps because of the smaller number of affected individuals and the lower visibility of advocacy movements.</w:t>
      </w:r>
    </w:p>
    <w:p>
      <w:pPr>
        <w:spacing w:line="480" w:lineRule="auto" w:after="0"/>
      </w:pPr>
      <w:r>
        <w:rPr>
          <w:rFonts w:ascii="Times New Roman" w:hAnsi="Times New Roman"/>
          <w:b/>
          <w:sz w:val="24"/>
        </w:rPr>
        <w:t>制限</w:t>
      </w:r>
    </w:p>
    <w:p>
      <w:pPr>
        <w:spacing w:line="480" w:lineRule="auto" w:after="0"/>
      </w:pPr>
      <w:r>
        <w:rPr>
          <w:rFonts w:ascii="Times New Roman" w:hAnsi="Times New Roman"/>
          <w:sz w:val="24"/>
        </w:rPr>
        <w:t>This review has several important limitations. First, data were obtainable for only 22.1% of the 195 countries surveyed. This reflects the significant challenges of accessing immigration regulations from countries where official documents are not available in English, French, or Japanese, and where government websites employ bot-detection mechanisms that block automated access. The 77.9% Tier D category highlights the need for primary data collection through diplomatic channels, surveys of immigration authorities, and multilingual document analysis. Second, the existence of a statutory provision does not necessarily indicate active enforcement. For example, while Thailand's Ministerial Regulation No. 14 lists leprosy as a prohibited disease, the frequency and consistency with which work permit applications are actually screened for leprosy could not be determined. Third, the categorization framework simplifies a complex landscape. Some countries may have regional or provincial variations in health screening requirements, and others may have unwritten policies or administrative practices that differ from published regulations.</w:t>
      </w:r>
    </w:p>
    <w:p>
      <w:pPr>
        <w:spacing w:line="480" w:lineRule="auto" w:after="0"/>
      </w:pPr>
      <w:r>
        <w:rPr>
          <w:rFonts w:ascii="Times New Roman" w:hAnsi="Times New Roman"/>
          <w:sz w:val="24"/>
        </w:rPr>
        <w:t>Fourth, our ability to access primary legal sources varied considerably by country. We successfully obtained and analyzed the full text of South Africa's Immigration Regulations, 2014 (Gazette No. 37679, 272 pages), which confirmed that the disease list operates through a chain of delegation: the Immigration Act (s29(1)(a)) delegates to the Immigration Regulations (Reg 26(1)), which in turn delegates to the International Health Regulations Act, 1974, and Department of Health determinations. This complex delegation chain means that the specific disease list, including whether leprosy is included, may change through health regulations rather than immigration regulations directly. For most other countries, comparable primary-source verification was not possible due to access restrictions.</w:t>
      </w:r>
    </w:p>
    <w:p>
      <w:pPr>
        <w:spacing w:line="480" w:lineRule="auto" w:after="0"/>
      </w:pPr>
      <w:r>
        <w:rPr>
          <w:rFonts w:ascii="Times New Roman" w:hAnsi="Times New Roman"/>
          <w:b/>
          <w:sz w:val="24"/>
        </w:rPr>
        <w:t>今後の研究の方向性</w:t>
      </w:r>
    </w:p>
    <w:p>
      <w:pPr>
        <w:spacing w:line="480" w:lineRule="auto" w:after="0"/>
      </w:pPr>
      <w:r>
        <w:rPr>
          <w:rFonts w:ascii="Times New Roman" w:hAnsi="Times New Roman"/>
          <w:sz w:val="24"/>
        </w:rPr>
        <w:t>Future research should aim to (1) collect primary data from the 159 Tier D countries through multilingual document analysis, surveys of diplomatic missions, and key informant interviews; (2) investigate the enforcement record of Tier A countries through freedom of information requests and case law analysis; (3) examine the historical origins of leprosy-specific immigration provisions, particularly in former colonies where legal frameworks may reflect colonial-era disease control legislation; and (4) evaluate the human rights impact of these provisions through qualitative research with affected populations.</w:t>
      </w:r>
    </w:p>
    <w:p>
      <w:pPr>
        <w:pStyle w:val="Heading1"/>
        <w:spacing w:line="480" w:lineRule="auto" w:before="240" w:after="120"/>
      </w:pPr>
      <w:r>
        <w:rPr>
          <w:rFonts w:ascii="Times New Roman" w:hAnsi="Times New Roman"/>
          <w:color w:val="000000"/>
        </w:rPr>
        <w:t>Conclusions</w:t>
      </w:r>
    </w:p>
    <w:p>
      <w:pPr>
        <w:spacing w:line="480" w:lineRule="auto" w:after="0"/>
      </w:pPr>
      <w:r>
        <w:rPr>
          <w:rFonts w:ascii="Times New Roman" w:hAnsi="Times New Roman"/>
          <w:sz w:val="24"/>
        </w:rPr>
        <w:t>Leprosy remains a statutory or regulatory ground for labour visa or residence restriction in at least 12 countries, spanning the Middle East, Africa, East Asia, Southeast Asia, Europe, and North America. These provisions lack a basis in current medical science, contradict WHO guidance under the IHR (2005), and risk reinforcing stigma against a population already vulnerable to discrimination. The GCC Unified Medical Examination Regulations alone subject millions of migrant workers across six countries to mandatory leprosy screening. While Japan's repeal of its Leprosy Prevention Law provides a precedent for reform, the persistence of such provisions in other countries indicates that continued advocacy and evidence generation are needed. We call for systematic repeal of leprosy-specific immigration restrictions and for further research to complete the global map of these provisions.</w:t>
      </w:r>
    </w:p>
    <w:p>
      <w:pPr>
        <w:spacing w:line="480" w:lineRule="auto" w:after="0"/>
      </w:pPr>
      <w:r>
        <w:rPr>
          <w:rFonts w:ascii="Times New Roman" w:hAnsi="Times New Roman"/>
          <w:sz w:val="24"/>
        </w:rPr>
        <w:t>## Acknowledgments</w:t>
      </w:r>
    </w:p>
    <w:p>
      <w:pPr>
        <w:spacing w:line="480" w:lineRule="auto" w:after="40"/>
        <w:ind w:left="720" w:hanging="720"/>
      </w:pPr>
      <w:r>
        <w:rPr>
          <w:rFonts w:ascii="Times New Roman" w:hAnsi="Times New Roman"/>
          <w:sz w:val="20"/>
        </w:rPr>
        <w:t>1. Britton WJ, Lockwood DN. Leprosy. Lancet. 2004;363(9416):1209-1219. doi: 10.1016/S0140-6736(04)15952-7.</w:t>
      </w:r>
    </w:p>
    <w:p>
      <w:pPr>
        <w:spacing w:line="480" w:lineRule="auto" w:after="40"/>
        <w:ind w:left="720" w:hanging="720"/>
      </w:pPr>
      <w:r>
        <w:rPr>
          <w:rFonts w:ascii="Times New Roman" w:hAnsi="Times New Roman"/>
          <w:sz w:val="20"/>
        </w:rPr>
        <w:t>2. World Health Organization. Leprosy (Hansen's disease): fact sheet. Geneva: WHO; 2023. Available from: https://www.who.int/news-room/fact-sheets/detail/leprosy.</w:t>
      </w:r>
    </w:p>
    <w:p>
      <w:pPr>
        <w:spacing w:line="480" w:lineRule="auto" w:after="40"/>
        <w:ind w:left="720" w:hanging="720"/>
      </w:pPr>
      <w:r>
        <w:rPr>
          <w:rFonts w:ascii="Times New Roman" w:hAnsi="Times New Roman"/>
          <w:sz w:val="20"/>
        </w:rPr>
        <w:t>3. World Health Organization. Global leprosy (Hansen disease) update, 2022: time for action on the 2030 road map. Wkly Epidemiol Rec. 2023;98(37):409-430.</w:t>
      </w:r>
    </w:p>
    <w:p>
      <w:pPr>
        <w:spacing w:line="480" w:lineRule="auto" w:after="40"/>
        <w:ind w:left="720" w:hanging="720"/>
      </w:pPr>
      <w:r>
        <w:rPr>
          <w:rFonts w:ascii="Times New Roman" w:hAnsi="Times New Roman"/>
          <w:sz w:val="20"/>
        </w:rPr>
        <w:t>4. Gussow Z, Tracy GS. Stigma and the leprosy phenomenon: the social history of a disease in the nineteenth and twentieth centuries. Bull Hist Med. 1970;44(5):425-449.</w:t>
      </w:r>
    </w:p>
    <w:p>
      <w:pPr>
        <w:spacing w:line="480" w:lineRule="auto" w:after="40"/>
        <w:ind w:left="720" w:hanging="720"/>
      </w:pPr>
      <w:r>
        <w:rPr>
          <w:rFonts w:ascii="Times New Roman" w:hAnsi="Times New Roman"/>
          <w:sz w:val="20"/>
        </w:rPr>
        <w:t>5. Kumamoto District Court. Judgment on the Leprosy Prevention Law constitutionality case. 11 May 2001. Hanrei Jiho No. 1748, p. 30.</w:t>
      </w:r>
    </w:p>
    <w:p>
      <w:pPr>
        <w:spacing w:line="480" w:lineRule="auto" w:after="40"/>
        <w:ind w:left="720" w:hanging="720"/>
      </w:pPr>
      <w:r>
        <w:rPr>
          <w:rFonts w:ascii="Times New Roman" w:hAnsi="Times New Roman"/>
          <w:sz w:val="20"/>
        </w:rPr>
        <w:t>6. Japan. Leprosy Prevention Law (Law No. 214 of 1953), repealed by Law No. 28 of 1996, effective 1 April 1996.</w:t>
      </w:r>
    </w:p>
    <w:p>
      <w:pPr>
        <w:spacing w:line="480" w:lineRule="auto" w:after="40"/>
        <w:ind w:left="720" w:hanging="720"/>
      </w:pPr>
      <w:r>
        <w:rPr>
          <w:rFonts w:ascii="Times New Roman" w:hAnsi="Times New Roman"/>
          <w:sz w:val="20"/>
        </w:rPr>
        <w:t>7. United States. Immigration and Nationality Act of 1952 (Pub. L. 82-414), Section 212(a) (historical provision, later amended).</w:t>
      </w:r>
    </w:p>
    <w:p>
      <w:pPr>
        <w:spacing w:line="480" w:lineRule="auto" w:after="40"/>
        <w:ind w:left="720" w:hanging="720"/>
      </w:pPr>
      <w:r>
        <w:rPr>
          <w:rFonts w:ascii="Times New Roman" w:hAnsi="Times New Roman"/>
          <w:sz w:val="20"/>
        </w:rPr>
        <w:t>8. World Health Organization. International Health Regulations (2005). 3rd ed. Geneva: WHO; 2016.</w:t>
      </w:r>
    </w:p>
    <w:p>
      <w:pPr>
        <w:spacing w:line="480" w:lineRule="auto" w:after="40"/>
        <w:ind w:left="720" w:hanging="720"/>
      </w:pPr>
      <w:r>
        <w:rPr>
          <w:rFonts w:ascii="Times New Roman" w:hAnsi="Times New Roman"/>
          <w:sz w:val="20"/>
        </w:rPr>
        <w:t>9. UNAIDS. Discrimination in immigration laws based on HIV status. UNAIDS/WHO Policy Brief. Geneva: UNAIDS; 2020.</w:t>
      </w:r>
    </w:p>
    <w:p>
      <w:pPr>
        <w:spacing w:line="480" w:lineRule="auto" w:after="40"/>
        <w:ind w:left="720" w:hanging="720"/>
      </w:pPr>
      <w:r>
        <w:rPr>
          <w:rFonts w:ascii="Times New Roman" w:hAnsi="Times New Roman"/>
          <w:sz w:val="20"/>
        </w:rPr>
        <w:t>10. Tricco AC, Lillie E, Zarin W, O'Brien KK, Colquhoun H, Levac D, et al. PRISMA extension for scoping reviews (PRISMA-ScR): checklist and explanation. Ann Intern Med. 2018;169(7):467-473. doi: 10.7326/M18-0850.</w:t>
      </w:r>
    </w:p>
    <w:p>
      <w:pPr>
        <w:spacing w:line="480" w:lineRule="auto" w:after="40"/>
        <w:ind w:left="720" w:hanging="720"/>
      </w:pPr>
      <w:r>
        <w:rPr>
          <w:rFonts w:ascii="Times New Roman" w:hAnsi="Times New Roman"/>
          <w:sz w:val="20"/>
        </w:rPr>
        <w:t>11. Gulf Health Council. Regulations of Medical Examination of Expatriates Coming to GCC States for Work or Residence. Riyadh: GHC; [current]. Available from: https://wafid.com/static/pdf/Regulations%20of%20Medical%20Examination%20of%20Expatriates%20Coming%20to%20GCC%20States%20for%20Work%20or%20Residence.pdf</w:t>
      </w:r>
    </w:p>
    <w:p>
      <w:pPr>
        <w:spacing w:line="480" w:lineRule="auto" w:after="40"/>
        <w:ind w:left="720" w:hanging="720"/>
      </w:pPr>
      <w:r>
        <w:rPr>
          <w:rFonts w:ascii="Times New Roman" w:hAnsi="Times New Roman"/>
          <w:sz w:val="20"/>
        </w:rPr>
        <w:t>12. Wafid Programme. GCC visa medical test requirements. [cited 2026 Apr 24]. Available from: https://www.wafidbooking.com/gcc-visa-medical-test</w:t>
      </w:r>
    </w:p>
    <w:p>
      <w:pPr>
        <w:spacing w:line="480" w:lineRule="auto" w:after="40"/>
        <w:ind w:left="720" w:hanging="720"/>
      </w:pPr>
      <w:r>
        <w:rPr>
          <w:rFonts w:ascii="Times New Roman" w:hAnsi="Times New Roman"/>
          <w:sz w:val="20"/>
        </w:rPr>
        <w:t>13. Saudi Arabia Ministry of Health. Expatriate medical examination requirements. Riyadh: MOH; [current].</w:t>
      </w:r>
    </w:p>
    <w:p>
      <w:pPr>
        <w:spacing w:line="480" w:lineRule="auto" w:after="40"/>
        <w:ind w:left="720" w:hanging="720"/>
      </w:pPr>
      <w:r>
        <w:rPr>
          <w:rFonts w:ascii="Times New Roman" w:hAnsi="Times New Roman"/>
          <w:sz w:val="20"/>
        </w:rPr>
        <w:t>14. Qatar Supreme Council of Health. Pre-employment medical examination for expatriate workers. Doha: SCH; [current].</w:t>
      </w:r>
    </w:p>
    <w:p>
      <w:pPr>
        <w:spacing w:line="480" w:lineRule="auto" w:after="40"/>
        <w:ind w:left="720" w:hanging="720"/>
      </w:pPr>
      <w:r>
        <w:rPr>
          <w:rFonts w:ascii="Times New Roman" w:hAnsi="Times New Roman"/>
          <w:sz w:val="20"/>
        </w:rPr>
        <w:t>15. Kuwait Ministry of Health. Expatriate worker medical screening regulations. Kuwait City: MOH; [current].</w:t>
      </w:r>
    </w:p>
    <w:p>
      <w:pPr>
        <w:spacing w:line="480" w:lineRule="auto" w:after="40"/>
        <w:ind w:left="720" w:hanging="720"/>
      </w:pPr>
      <w:r>
        <w:rPr>
          <w:rFonts w:ascii="Times New Roman" w:hAnsi="Times New Roman"/>
          <w:sz w:val="20"/>
        </w:rPr>
        <w:t>16. United Arab Emirates Government. Health conditions for UAE residence visa. Abu Dhabi: UAE Government Portal; [current]. Available from: https://u.ae/en/information-and-services/health-and-fitness/health-conditions-for-uae-residence-visa</w:t>
      </w:r>
    </w:p>
    <w:p>
      <w:pPr>
        <w:spacing w:line="480" w:lineRule="auto" w:after="40"/>
        <w:ind w:left="720" w:hanging="720"/>
      </w:pPr>
      <w:r>
        <w:rPr>
          <w:rFonts w:ascii="Times New Roman" w:hAnsi="Times New Roman"/>
          <w:sz w:val="20"/>
        </w:rPr>
        <w:t>17. Republic of South Africa. Immigration Regulations, 2014 (GN R.416, Government Gazette No. 37679 of 22 May 2014), Regulation 26(1).</w:t>
      </w:r>
    </w:p>
    <w:p>
      <w:pPr>
        <w:spacing w:line="480" w:lineRule="auto" w:after="40"/>
        <w:ind w:left="720" w:hanging="720"/>
      </w:pPr>
      <w:r>
        <w:rPr>
          <w:rFonts w:ascii="Times New Roman" w:hAnsi="Times New Roman"/>
          <w:sz w:val="20"/>
        </w:rPr>
        <w:t>18. Thailand. Ministerial Regulation No. 14 (B.E. 2535) issued under the Alien Working Act B.E. 2551 (2008).</w:t>
      </w:r>
    </w:p>
    <w:p>
      <w:pPr>
        <w:spacing w:line="480" w:lineRule="auto" w:after="40"/>
        <w:ind w:left="720" w:hanging="720"/>
      </w:pPr>
      <w:r>
        <w:rPr>
          <w:rFonts w:ascii="Times New Roman" w:hAnsi="Times New Roman"/>
          <w:sz w:val="20"/>
        </w:rPr>
        <w:t>19. Thailand Department of Employment. Health check requirements for foreign workers' work permits. Bangkok; [current].</w:t>
      </w:r>
    </w:p>
    <w:p>
      <w:pPr>
        <w:spacing w:line="480" w:lineRule="auto" w:after="40"/>
        <w:ind w:left="720" w:hanging="720"/>
      </w:pPr>
      <w:r>
        <w:rPr>
          <w:rFonts w:ascii="Times New Roman" w:hAnsi="Times New Roman"/>
          <w:sz w:val="20"/>
        </w:rPr>
        <w:t>20. Taiwan Centers for Disease Control. Items Required for Health Certificate for Residence in Taiwan. Taipei: Taiwan CDC; 2022. Available from: https://www.roc-taiwan.org/uploads/sites/155/2022/11/Items-Required-for-Health-Certificate-for-Residence-in-Taiwan-Taiwan-Centers-for-Disease-Control.pdf</w:t>
      </w:r>
    </w:p>
    <w:p>
      <w:pPr>
        <w:spacing w:line="480" w:lineRule="auto" w:after="40"/>
        <w:ind w:left="720" w:hanging="720"/>
      </w:pPr>
      <w:r>
        <w:rPr>
          <w:rFonts w:ascii="Times New Roman" w:hAnsi="Times New Roman"/>
          <w:sz w:val="20"/>
        </w:rPr>
        <w:t>21. Philippines Department of Foreign Affairs. FA Form No. 11: Medical Examination for Immigrant Visa Applicant. Manila: DFA; [current].</w:t>
      </w:r>
    </w:p>
    <w:p>
      <w:pPr>
        <w:spacing w:line="480" w:lineRule="auto" w:after="40"/>
        <w:ind w:left="720" w:hanging="720"/>
      </w:pPr>
      <w:r>
        <w:rPr>
          <w:rFonts w:ascii="Times New Roman" w:hAnsi="Times New Roman"/>
          <w:sz w:val="20"/>
        </w:rPr>
        <w:t>22. Centers for Disease Control and Prevention. Technical Instructions for Hansen's Disease (Leprosy) for Civil Surgeons. Atlanta: CDC; [current]. Available from: https://www.cdc.gov/immigrant-refugee-health/hcp/civil-surgeons/hansens-disease.html</w:t>
      </w:r>
    </w:p>
    <w:p>
      <w:pPr>
        <w:spacing w:line="480" w:lineRule="auto" w:after="40"/>
        <w:ind w:left="720" w:hanging="720"/>
      </w:pPr>
      <w:r>
        <w:rPr>
          <w:rFonts w:ascii="Times New Roman" w:hAnsi="Times New Roman"/>
          <w:sz w:val="20"/>
        </w:rPr>
        <w:t>23. U.S. Citizenship and Immigration Services. Policy Manual, Volume 8, Part B, Chapter 6: Communicable Diseases of Public Health Significance. Washington, DC: USCIS; [current]. Available from: https://www.uscis.gov/policy-manual/volume-8-part-b-chapter-6</w:t>
      </w:r>
    </w:p>
    <w:p>
      <w:pPr>
        <w:spacing w:line="480" w:lineRule="auto" w:after="40"/>
        <w:ind w:left="720" w:hanging="720"/>
      </w:pPr>
      <w:r>
        <w:rPr>
          <w:rFonts w:ascii="Times New Roman" w:hAnsi="Times New Roman"/>
          <w:sz w:val="20"/>
        </w:rPr>
        <w:t>24. Russian Federation. Federal Law No. 357-FZ of 1 July 2021. Moscow; 2021.</w:t>
      </w:r>
    </w:p>
    <w:p>
      <w:pPr>
        <w:spacing w:line="480" w:lineRule="auto" w:after="40"/>
        <w:ind w:left="720" w:hanging="720"/>
      </w:pPr>
      <w:r>
        <w:rPr>
          <w:rFonts w:ascii="Times New Roman" w:hAnsi="Times New Roman"/>
          <w:sz w:val="20"/>
        </w:rPr>
        <w:t>25. BBC News. Russia orders health and drug checks for foreigners. 2 February 2022. Available from: https://www.bbc.com/news/world-europe-59820777</w:t>
      </w:r>
    </w:p>
    <w:p>
      <w:pPr>
        <w:spacing w:line="480" w:lineRule="auto" w:after="40"/>
        <w:ind w:left="720" w:hanging="720"/>
      </w:pPr>
      <w:r>
        <w:rPr>
          <w:rFonts w:ascii="Times New Roman" w:hAnsi="Times New Roman"/>
          <w:sz w:val="20"/>
        </w:rPr>
        <w:t>26. Association of European Businesses (AEB). Medical tests, fingerprinting, and photographing of foreign nationals in the Russian Federation: FAQ. Moscow: AEB; 2022. Available from: https://aebrus.ru/upload/iblock/f2c/GR_FAQ-re-medical-checks-and-biometric-registration_ENG.pdf</w:t>
      </w:r>
    </w:p>
    <w:p>
      <w:pPr>
        <w:spacing w:line="480" w:lineRule="auto" w:after="40"/>
        <w:ind w:left="720" w:hanging="720"/>
      </w:pPr>
      <w:r>
        <w:rPr>
          <w:rFonts w:ascii="Times New Roman" w:hAnsi="Times New Roman"/>
          <w:sz w:val="20"/>
        </w:rPr>
        <w:t>27. Japan. Immigration Control and Refugee Recognition Act (Cabinet Order No. 319 of 1951), as amended.</w:t>
      </w:r>
    </w:p>
    <w:p>
      <w:pPr>
        <w:spacing w:line="480" w:lineRule="auto" w:after="40"/>
        <w:ind w:left="720" w:hanging="720"/>
      </w:pPr>
      <w:r>
        <w:rPr>
          <w:rFonts w:ascii="Times New Roman" w:hAnsi="Times New Roman"/>
          <w:sz w:val="20"/>
        </w:rPr>
        <w:t>28. India. The Lepers Act, 1898 (Act No. 3 of 1898), repealed by the Repealing and Amending Act, 2019.</w:t>
      </w:r>
    </w:p>
    <w:p>
      <w:pPr>
        <w:spacing w:line="480" w:lineRule="auto" w:after="40"/>
        <w:ind w:left="720" w:hanging="720"/>
      </w:pPr>
      <w:r>
        <w:rPr>
          <w:rFonts w:ascii="Times New Roman" w:hAnsi="Times New Roman"/>
          <w:sz w:val="20"/>
        </w:rPr>
        <w:t>29. UK Home Office. Tuberculosis screening for visa applicants: guidance. London: Home Office; [current].</w:t>
      </w:r>
    </w:p>
    <w:p>
      <w:pPr>
        <w:spacing w:line="480" w:lineRule="auto" w:after="40"/>
        <w:ind w:left="720" w:hanging="720"/>
      </w:pPr>
      <w:r>
        <w:rPr>
          <w:rFonts w:ascii="Times New Roman" w:hAnsi="Times New Roman"/>
          <w:sz w:val="20"/>
        </w:rPr>
        <w:t>30. Immigration, Refugees and Citizenship Canada. Medical examination instructions for applicants. Ottawa: IRCC; [current].</w:t>
      </w:r>
    </w:p>
    <w:p>
      <w:pPr>
        <w:spacing w:line="480" w:lineRule="auto" w:after="40"/>
        <w:ind w:left="720" w:hanging="720"/>
      </w:pPr>
      <w:r>
        <w:rPr>
          <w:rFonts w:ascii="Times New Roman" w:hAnsi="Times New Roman"/>
          <w:sz w:val="20"/>
        </w:rPr>
        <w:t>31. Australian Department of Home Affairs. Health requirements for visa applicants. Canberra: DHA; [current].</w:t>
      </w:r>
    </w:p>
    <w:p>
      <w:pPr>
        <w:spacing w:line="480" w:lineRule="auto" w:after="40"/>
        <w:ind w:left="720" w:hanging="720"/>
      </w:pPr>
      <w:r>
        <w:rPr>
          <w:rFonts w:ascii="Times New Roman" w:hAnsi="Times New Roman"/>
          <w:sz w:val="20"/>
        </w:rPr>
        <w:t>32. Germany. Aufenthaltsgesetz (Residence Act) of 30 July 2004 (BGBl. I S. 1950), as amended.</w:t>
      </w:r>
    </w:p>
    <w:p>
      <w:pPr>
        <w:spacing w:line="480" w:lineRule="auto" w:after="40"/>
        <w:ind w:left="720" w:hanging="720"/>
      </w:pPr>
      <w:r>
        <w:rPr>
          <w:rFonts w:ascii="Times New Roman" w:hAnsi="Times New Roman"/>
          <w:sz w:val="20"/>
        </w:rPr>
        <w:t>33. UNAIDS. HIV-related travel restrictions. Geneva: UNAIDS; 2023. Available from: https://www.unaids.org/en/keyissues/travelrestrictions.</w:t>
      </w:r>
    </w:p>
    <w:p>
      <w:pPr>
        <w:spacing w:line="480" w:lineRule="auto" w:after="0"/>
      </w:pPr>
      <w:r>
        <w:rPr>
          <w:rFonts w:ascii="Times New Roman" w:hAnsi="Times New Roman"/>
          <w:sz w:val="24"/>
        </w:rPr>
        <w:t>## Supporting information captions</w:t>
      </w:r>
    </w:p>
    <w:p>
      <w:pPr>
        <w:spacing w:line="480" w:lineRule="auto" w:after="0"/>
      </w:pPr>
      <w:r>
        <w:rPr>
          <w:rFonts w:ascii="Times New Roman" w:hAnsi="Times New Roman"/>
          <w:sz w:val="24"/>
        </w:rPr>
      </w:r>
      <w:r>
        <w:rPr>
          <w:rFonts w:ascii="Times New Roman" w:hAnsi="Times New Roman"/>
          <w:b/>
          <w:sz w:val="24"/>
        </w:rPr>
        <w:t>S1 Checklist. PRISMA-ScR checklist.</w:t>
      </w:r>
      <w:r>
        <w:rPr>
          <w:rFonts w:ascii="Times New Roman" w:hAnsi="Times New Roman"/>
          <w:sz w:val="24"/>
        </w:rPr>
      </w:r>
    </w:p>
    <w:p>
      <w:pPr>
        <w:spacing w:line="480" w:lineRule="auto" w:after="0"/>
      </w:pPr>
      <w:r>
        <w:rPr>
          <w:rFonts w:ascii="Times New Roman" w:hAnsi="Times New Roman"/>
          <w:sz w:val="24"/>
        </w:rPr>
      </w:r>
      <w:r>
        <w:rPr>
          <w:rFonts w:ascii="Times New Roman" w:hAnsi="Times New Roman"/>
          <w:b/>
          <w:sz w:val="24"/>
        </w:rPr>
        <w:t>S1 Data. Data extraction spreadsheet used in the scoping review.</w:t>
      </w:r>
      <w:r>
        <w:rPr>
          <w:rFonts w:ascii="Times New Roman" w:hAnsi="Times New Roman"/>
          <w:sz w:val="24"/>
        </w:rPr>
      </w:r>
    </w:p>
    <w:p>
      <w:pPr>
        <w:spacing w:line="480" w:lineRule="auto" w:after="0"/>
      </w:pPr>
      <w:r>
        <w:rPr>
          <w:rFonts w:ascii="Times New Roman" w:hAnsi="Times New Roman"/>
          <w:sz w:val="24"/>
        </w:rPr>
        <w:t>## Author contributions</w:t>
      </w:r>
    </w:p>
    <w:p>
      <w:pPr>
        <w:spacing w:line="480" w:lineRule="auto" w:after="0"/>
      </w:pPr>
      <w:r>
        <w:rPr>
          <w:rFonts w:ascii="Times New Roman" w:hAnsi="Times New Roman"/>
          <w:sz w:val="24"/>
        </w:rPr>
        <w:t>## Data availability statement</w:t>
      </w:r>
    </w:p>
    <w:p>
      <w:pPr>
        <w:spacing w:line="480" w:lineRule="auto" w:after="0"/>
      </w:pPr>
      <w:r>
        <w:rPr>
          <w:rFonts w:ascii="Times New Roman" w:hAnsi="Times New Roman"/>
          <w:sz w:val="24"/>
        </w:rPr>
        <w:t>All data extracted for this review are presented in the manuscript and supporting information files.</w:t>
      </w:r>
    </w:p>
    <w:p>
      <w:pPr>
        <w:spacing w:line="480" w:lineRule="auto" w:after="0"/>
      </w:pPr>
      <w:r>
        <w:rPr>
          <w:rFonts w:ascii="Times New Roman" w:hAnsi="Times New Roman"/>
          <w:sz w:val="24"/>
        </w:rPr>
        <w:t>## Financial disclosure statement</w:t>
      </w:r>
    </w:p>
    <w:p>
      <w:pPr>
        <w:spacing w:line="480" w:lineRule="auto" w:after="0"/>
      </w:pPr>
      <w:r>
        <w:rPr>
          <w:rFonts w:ascii="Times New Roman" w:hAnsi="Times New Roman"/>
          <w:sz w:val="24"/>
        </w:rPr>
        <w:t>## Competing interests statement</w:t>
      </w:r>
    </w:p>
    <w:p>
      <w:pPr>
        <w:spacing w:line="480" w:lineRule="auto" w:after="0"/>
      </w:pPr>
      <w:r>
        <w:rPr>
          <w:rFonts w:ascii="Times New Roman" w:hAnsi="Times New Roman"/>
          <w:sz w:val="24"/>
        </w:rPr>
        <w:t>The authors have declared that no competing interests exist.</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