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4"/>
        </w:rPr>
      </w:r>
    </w:p>
    <w:p>
      <w:pPr>
        <w:spacing w:line="480" w:lineRule="auto" w:after="0"/>
        <w:jc w:val="center"/>
      </w:pPr>
      <w:r>
        <w:rPr>
          <w:rFonts w:ascii="Times New Roman" w:hAnsi="Times New Roman"/>
          <w:b/>
          <w:i w:val="0"/>
          <w:sz w:val="28"/>
        </w:rPr>
        <w:t>Leprosy as a Ground for Labour Visa Restrictions: A Scoping Review of National Immigration Regulations Worldwide</w:t>
      </w:r>
    </w:p>
    <w:p>
      <w:pPr>
        <w:spacing w:line="480" w:lineRule="auto" w:after="0"/>
      </w:pPr>
      <w:r>
        <w:rPr>
          <w:rFonts w:ascii="Times New Roman" w:hAnsi="Times New Roman"/>
          <w:b w:val="0"/>
          <w:i w:val="0"/>
          <w:sz w:val="24"/>
        </w:rPr>
      </w:r>
    </w:p>
    <w:p>
      <w:pPr>
        <w:spacing w:line="480" w:lineRule="auto" w:after="0"/>
        <w:jc w:val="center"/>
      </w:pPr>
      <w:r>
        <w:rPr>
          <w:rFonts w:ascii="Times New Roman" w:hAnsi="Times New Roman"/>
          <w:b w:val="0"/>
          <w:i/>
          <w:sz w:val="24"/>
        </w:rPr>
        <w:t>Short title: Leprosy and labour visa restrictions globally</w:t>
      </w:r>
    </w:p>
    <w:p>
      <w:pPr>
        <w:spacing w:line="480" w:lineRule="auto" w:after="0"/>
      </w:pPr>
      <w:r>
        <w:rPr>
          <w:rFonts w:ascii="Times New Roman" w:hAnsi="Times New Roman"/>
          <w:b w:val="0"/>
          <w:i w:val="0"/>
          <w:sz w:val="24"/>
        </w:rPr>
      </w:r>
    </w:p>
    <w:p>
      <w:pPr>
        <w:spacing w:line="480" w:lineRule="auto" w:after="0"/>
        <w:jc w:val="center"/>
      </w:pPr>
      <w:r>
        <w:rPr>
          <w:rFonts w:ascii="Times New Roman" w:hAnsi="Times New Roman"/>
          <w:b w:val="0"/>
          <w:i w:val="0"/>
          <w:sz w:val="24"/>
        </w:rPr>
        <w:t>[Author 1 Name][1,2*], [Author 2 Name][2], [Author 3 Name][3]</w:t>
      </w:r>
    </w:p>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0"/>
        </w:rPr>
        <w:t>[1] Department of [Department], [University], [City], [Country]</w:t>
      </w:r>
    </w:p>
    <w:p>
      <w:pPr>
        <w:spacing w:line="480" w:lineRule="auto" w:after="0"/>
      </w:pPr>
      <w:r>
        <w:rPr>
          <w:rFonts w:ascii="Times New Roman" w:hAnsi="Times New Roman"/>
          <w:b w:val="0"/>
          <w:i w:val="0"/>
          <w:sz w:val="20"/>
        </w:rPr>
        <w:t>[2] Department of [Department], [University], [City], [Country]</w:t>
      </w:r>
    </w:p>
    <w:p>
      <w:pPr>
        <w:spacing w:line="480" w:lineRule="auto" w:after="0"/>
      </w:pPr>
      <w:r>
        <w:rPr>
          <w:rFonts w:ascii="Times New Roman" w:hAnsi="Times New Roman"/>
          <w:b w:val="0"/>
          <w:i w:val="0"/>
          <w:sz w:val="20"/>
        </w:rPr>
        <w:t>[3] Department of [Department], [University], [City], [Country]</w:t>
      </w:r>
    </w:p>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0"/>
        </w:rPr>
        <w:t>* Corresponding author</w:t>
      </w:r>
    </w:p>
    <w:p>
      <w:pPr>
        <w:spacing w:line="480" w:lineRule="auto" w:after="0"/>
      </w:pPr>
      <w:r>
        <w:rPr>
          <w:rFonts w:ascii="Times New Roman" w:hAnsi="Times New Roman"/>
          <w:b w:val="0"/>
          <w:i w:val="0"/>
          <w:sz w:val="20"/>
        </w:rPr>
        <w:t>E-mail: [corresponding.author@institution.edu]</w:t>
      </w:r>
    </w:p>
    <w:p>
      <w:r>
        <w:br w:type="page"/>
      </w:r>
    </w:p>
    <w:p>
      <w:pPr>
        <w:pStyle w:val="Heading1"/>
        <w:spacing w:line="480" w:lineRule="auto" w:before="240" w:after="120"/>
      </w:pPr>
      <w:r>
        <w:rPr>
          <w:rFonts w:ascii="Times New Roman" w:hAnsi="Times New Roman"/>
          <w:color w:val="000000"/>
        </w:rPr>
        <w:t>Abstract</w:t>
      </w:r>
    </w:p>
    <w:p>
      <w:pPr>
        <w:spacing w:line="480" w:lineRule="auto" w:after="0"/>
      </w:pPr>
      <w:r>
        <w:rPr>
          <w:rFonts w:ascii="Times New Roman" w:hAnsi="Times New Roman"/>
          <w:b/>
          <w:i/>
          <w:sz w:val="24"/>
        </w:rPr>
        <w:t>Background</w:t>
      </w:r>
    </w:p>
    <w:p>
      <w:pPr>
        <w:spacing w:line="480" w:lineRule="auto" w:after="0"/>
      </w:pPr>
      <w:r>
        <w:rPr>
          <w:rFonts w:ascii="Times New Roman" w:hAnsi="Times New Roman"/>
          <w:b w:val="0"/>
          <w:i w:val="0"/>
          <w:sz w:val="24"/>
        </w:rPr>
        <w:t>Leprosy (Hansen's disease) is a chronic infectious disease caused by Mycobacterium leprae that is curable with multidrug therapy and has extremely low contagiousness. Despite the World Health Organization's position that leprosy should not be grounds for travel restrictions, several countries continue to maintain statutory provisions listing leprosy as a disease that disqualifies foreign nationals from obtaining labour visas. The global landscape of these provisions has never been systematically mapped.</w:t>
      </w:r>
    </w:p>
    <w:p>
      <w:pPr>
        <w:spacing w:line="480" w:lineRule="auto" w:after="0"/>
      </w:pPr>
      <w:r>
        <w:rPr>
          <w:rFonts w:ascii="Times New Roman" w:hAnsi="Times New Roman"/>
          <w:b/>
          <w:i/>
          <w:sz w:val="24"/>
        </w:rPr>
        <w:t>Methodology/Principal Findings</w:t>
      </w:r>
    </w:p>
    <w:p>
      <w:pPr>
        <w:spacing w:line="480" w:lineRule="auto" w:after="0"/>
      </w:pPr>
      <w:r>
        <w:rPr>
          <w:rFonts w:ascii="Times New Roman" w:hAnsi="Times New Roman"/>
          <w:b w:val="0"/>
          <w:i w:val="0"/>
          <w:sz w:val="24"/>
        </w:rPr>
        <w:t>We conducted a scoping review following the PRISMA-ScR framework. We searched PubMed, Web of Science, Scopus, Google Scholar, official government databases, and the Tavily web search API for legislation, regulations, and visa application forms specifying medical requirements for work visas across all 193 United Nations Member States and 2 observer states. Primary-source verification was performed by obtaining and analysing the full text of key legal instruments, including South Africa's Immigration Regulations Government Gazette (37679, 272 pp.), the Gulf Cooperation Council (GCC) Unified Medical Examination Regulations (79 pp.), and government-published health screening requirements for Thailand, Taiwan, the Philippines, the United States, and Russia. Additionally, we consulted WHO International Health Regulations and grey literature from human rights organizations. Data were extracted on the presence or absence of leprosy-specific provisions, the legal instrument involved, and the nature of the restriction.</w:t>
      </w:r>
    </w:p>
    <w:p>
      <w:pPr>
        <w:spacing w:line="480" w:lineRule="auto" w:after="0"/>
      </w:pPr>
      <w:r>
        <w:rPr>
          <w:rFonts w:ascii="Times New Roman" w:hAnsi="Times New Roman"/>
          <w:b w:val="0"/>
          <w:i w:val="0"/>
          <w:sz w:val="24"/>
        </w:rPr>
        <w:t>We identified leprosy-specific labour visa or residence restrictions in at least 12 countries: South Africa (Immigration Regulations, Reg 26(1), referencing the International Health Regulations Act, 1974), the six GCC member states (Saudi Arabia, Qatar, Kuwait, United Arab Emirates, Bahrain, Oman) via the GCC Unified Medical Examination Regulations (Art. 42, listing leprosy as a medical unfitness condition), Thailand (Ministerial Regulation No. 14, B.E. 2535, listing leprosy as one of six prohibited diseases for work permits), Taiwan (Centers for Disease Control Foreigners' Health Checklist, including skin disease/leprosy examination), the Philippines (Special Investor Resident Visa medical form, Class A dangerous diseases), the United States (CDC Technical Instructions for Panel Physicians, listing Hansen's disease as a communicable disease of public health significance), and Russia (Federal Law No. 357-FZ, requiring quarterly leprosy screening for all foreign workers). At least 4 countries have abolished such provisions: Japan (repeal of the Leprosy Prevention Law in 1996, with a landmark unconstitutional ruling in 2001), the United States (removed from general immigration screening in the 1960s, though retained for panel physician examinations), India, and the United Kingdom. For the remaining 152 countries (77.9%), data were insufficient to determine the presence or absence of leprosy-specific provisions.</w:t>
      </w:r>
    </w:p>
    <w:p>
      <w:pPr>
        <w:spacing w:line="480" w:lineRule="auto" w:after="0"/>
      </w:pPr>
      <w:r>
        <w:rPr>
          <w:rFonts w:ascii="Times New Roman" w:hAnsi="Times New Roman"/>
          <w:b/>
          <w:i/>
          <w:sz w:val="24"/>
        </w:rPr>
        <w:t>Conclusions/Significance</w:t>
      </w:r>
    </w:p>
    <w:p>
      <w:pPr>
        <w:spacing w:line="480" w:lineRule="auto" w:after="0"/>
      </w:pPr>
      <w:r>
        <w:rPr>
          <w:rFonts w:ascii="Times New Roman" w:hAnsi="Times New Roman"/>
          <w:b w:val="0"/>
          <w:i w:val="0"/>
          <w:sz w:val="24"/>
        </w:rPr>
        <w:t>Leprosy remains a statutory ground for labour visa or residence restriction in at least 12 countries, spanning the Middle East, Africa, East Asia, Southeast Asia, Europe, and North America. These provisions lack a basis in current medical science, contradict WHO guidance under the International Health Regulations (2005), and risk reinforcing stigma against a population already vulnerable to discrimination. The GCC Unified Medical Examination Regulations alone subject millions of migrant workers across six countries to mandatory leprosy screening. While Japan's repeal of its Leprosy Prevention Law provides a precedent for reform, the persistence of such provisions in other countries indicates that continued advocacy and evidence generation are needed. We call for systematic repeal of leprosy-specific immigration restrictions and for further primary research to complete the global map.</w:t>
      </w:r>
    </w:p>
    <w:p>
      <w:r>
        <w:br w:type="page"/>
      </w:r>
    </w:p>
    <w:p>
      <w:pPr>
        <w:pStyle w:val="Heading1"/>
        <w:spacing w:line="480" w:lineRule="auto" w:before="240" w:after="120"/>
      </w:pPr>
      <w:r>
        <w:rPr>
          <w:rFonts w:ascii="Times New Roman" w:hAnsi="Times New Roman"/>
          <w:color w:val="000000"/>
        </w:rPr>
        <w:t>Author Summary</w:t>
      </w:r>
    </w:p>
    <w:p>
      <w:pPr>
        <w:spacing w:line="480" w:lineRule="auto" w:after="0"/>
      </w:pPr>
      <w:r>
        <w:rPr>
          <w:rFonts w:ascii="Times New Roman" w:hAnsi="Times New Roman"/>
          <w:b w:val="0"/>
          <w:i w:val="0"/>
          <w:sz w:val="24"/>
        </w:rPr>
        <w:t>Leprosy (Hansen's disease) is a curable infectious disease that is very difficult to catch — it requires prolonged, close contact to spread, and effective treatment exists. Despite this, several countries still have laws that let them refuse work visas or residence permits to people who have or have had leprosy. In this study, we systematically searched for and analysed these laws across all countries in the world. We found that at least 12 countries currently maintain such restrictions, including the six Gulf Cooperation Council states (Saudi Arabia, Qatar, Kuwait, UAE, Bahrain, Oman), South Africa, Thailand, Taiwan, the Philippines, Russia, and the United States (for immigrant visa applicants). We also found that Japan, India, and the United Kingdom have removed similar restrictions. The Gulf states' unified medical regulations alone subject millions of migrant workers to mandatory leprosy screening. Our findings suggest that these remaining laws are based on outdated beliefs rather than modern medical science, and they may unfairly harm people who have already been cured of leprosy or are undergoing treatment. We argue that these restrictions should be removed, as they contradict World Health Organization recommendations and may worsen the stigma that people affected by leprosy already face.</w:t>
      </w:r>
    </w:p>
    <w:p>
      <w:pPr>
        <w:spacing w:line="480" w:lineRule="auto" w:after="0"/>
      </w:pPr>
      <w:r>
        <w:rPr>
          <w:rFonts w:ascii="Times New Roman" w:hAnsi="Times New Roman"/>
          <w:sz w:val="24"/>
        </w:rPr>
        <w:t># Leprosy as a Ground for Labour Visa Restrictions: A Scoping Review of National Immigration Regulations Worldwide</w:t>
      </w:r>
    </w:p>
    <w:p>
      <w:pPr>
        <w:spacing w:line="480" w:lineRule="auto" w:after="0"/>
      </w:pPr>
      <w:r>
        <w:rPr>
          <w:rFonts w:ascii="Times New Roman" w:hAnsi="Times New Roman"/>
          <w:sz w:val="24"/>
        </w:rPr>
        <w:t>## Short title: Leprosy and labour visa restrictions globally</w:t>
      </w:r>
    </w:p>
    <w:p>
      <w:pPr>
        <w:spacing w:line="480" w:lineRule="auto" w:after="0"/>
      </w:pPr>
      <w:r>
        <w:rPr>
          <w:rFonts w:ascii="Times New Roman" w:hAnsi="Times New Roman"/>
          <w:sz w:val="24"/>
        </w:rPr>
        <w:t>[Author 1 Name][1,2*], [Author 2 Name][2], [Author 3 Name][3]</w:t>
      </w:r>
    </w:p>
    <w:p>
      <w:pPr>
        <w:spacing w:line="480" w:lineRule="auto" w:after="0"/>
      </w:pPr>
      <w:r>
        <w:rPr>
          <w:rFonts w:ascii="Times New Roman" w:hAnsi="Times New Roman"/>
          <w:sz w:val="24"/>
        </w:rPr>
        <w:t>[1 Department of [Department], [University], [City], [Country]</w:t>
      </w:r>
    </w:p>
    <w:p>
      <w:pPr>
        <w:spacing w:line="480" w:lineRule="auto" w:after="0"/>
      </w:pPr>
      <w:r>
        <w:rPr>
          <w:rFonts w:ascii="Times New Roman" w:hAnsi="Times New Roman"/>
          <w:sz w:val="24"/>
        </w:rPr>
        <w:t>[2 Department of [Department], [University], [City], [Country]</w:t>
      </w:r>
    </w:p>
    <w:p>
      <w:pPr>
        <w:spacing w:line="480" w:lineRule="auto" w:after="0"/>
      </w:pPr>
      <w:r>
        <w:rPr>
          <w:rFonts w:ascii="Times New Roman" w:hAnsi="Times New Roman"/>
          <w:sz w:val="24"/>
        </w:rPr>
        <w:t>[3 Department of [Department], [University], [City], [Country]</w:t>
      </w:r>
    </w:p>
    <w:p>
      <w:pPr>
        <w:spacing w:line="480" w:lineRule="auto" w:after="0"/>
      </w:pPr>
      <w:r>
        <w:rPr>
          <w:rFonts w:ascii="Times New Roman" w:hAnsi="Times New Roman"/>
          <w:sz w:val="24"/>
        </w:rPr>
        <w:t>* Corresponding author</w:t>
      </w:r>
    </w:p>
    <w:p>
      <w:pPr>
        <w:spacing w:line="480" w:lineRule="auto" w:after="0"/>
      </w:pPr>
      <w:r>
        <w:rPr>
          <w:rFonts w:ascii="Times New Roman" w:hAnsi="Times New Roman"/>
          <w:sz w:val="24"/>
        </w:rPr>
        <w:t>E-mail: [corresponding.author@institution.edu]</w:t>
      </w:r>
    </w:p>
    <w:p>
      <w:pPr>
        <w:spacing w:line="480" w:lineRule="auto" w:after="0"/>
      </w:pPr>
      <w:r>
        <w:rPr>
          <w:rFonts w:ascii="Times New Roman" w:hAnsi="Times New Roman"/>
          <w:b/>
          <w:sz w:val="24"/>
        </w:rPr>
        <w:t>Background</w:t>
      </w:r>
    </w:p>
    <w:p>
      <w:pPr>
        <w:spacing w:line="480" w:lineRule="auto" w:after="0"/>
      </w:pPr>
      <w:r>
        <w:rPr>
          <w:rFonts w:ascii="Times New Roman" w:hAnsi="Times New Roman"/>
          <w:sz w:val="24"/>
        </w:rPr>
        <w:t>Leprosy (Hansen's disease) is a chronic infectious disease caused by Mycobacterium leprae that is curable with multidrug therapy and has extremely low contagiousness. Despite the World Health Organization's position that leprosy should not be grounds for travel restrictions, several countries continue to maintain statutory provisions listing leprosy as a disease that disqualifies foreign nationals from obtaining labour visas. The global landscape of these provisions has never been systematically mapped.</w:t>
      </w:r>
    </w:p>
    <w:p>
      <w:pPr>
        <w:spacing w:line="480" w:lineRule="auto" w:after="0"/>
      </w:pPr>
      <w:r>
        <w:rPr>
          <w:rFonts w:ascii="Times New Roman" w:hAnsi="Times New Roman"/>
          <w:b/>
          <w:sz w:val="24"/>
        </w:rPr>
        <w:t>Methodology/Principal Findings</w:t>
      </w:r>
    </w:p>
    <w:p>
      <w:pPr>
        <w:spacing w:line="480" w:lineRule="auto" w:after="0"/>
      </w:pPr>
      <w:r>
        <w:rPr>
          <w:rFonts w:ascii="Times New Roman" w:hAnsi="Times New Roman"/>
          <w:sz w:val="24"/>
        </w:rPr>
        <w:t>We conducted a scoping review following the PRISMA-ScR framework. We searched PubMed, Web of Science, Scopus, Google Scholar, official government databases, and the Tavily web search API for legislation, regulations, and visa application forms specifying medical requirements for work visas across all 193 United Nations Member States and 2 observer states. Primary-source verification was performed by obtaining and analysing the full text of key legal instruments, including South Africa's Immigration Regulations Government Gazette (37679, 272 pp.), the Gulf Cooperation Council (GCC) Unified Medical Examination Regulations (79 pp.), and government-published health screening requirements for Thailand, Taiwan, the Philippines, the United States, and Russia. Additionally, we consulted WHO International Health Regulations and grey literature from human rights organizations. Data were extracted on the presence or absence of leprosy-specific provisions, the legal instrument involved, and the nature of the restriction.</w:t>
      </w:r>
    </w:p>
    <w:p>
      <w:pPr>
        <w:spacing w:line="480" w:lineRule="auto" w:after="0"/>
      </w:pPr>
      <w:r>
        <w:rPr>
          <w:rFonts w:ascii="Times New Roman" w:hAnsi="Times New Roman"/>
          <w:sz w:val="24"/>
        </w:rPr>
        <w:t>We identified leprosy-specific labour visa or residence restrictions in at least 12 countries: South Africa (Immigration Regulations, Reg 26(1), referencing the International Health Regulations Act, 1974), the six GCC member states (Saudi Arabia, Qatar, Kuwait, United Arab Emirates, Bahrain, Oman) via the GCC Unified Medical Examination Regulations (Art. 42, listing leprosy as a medical unfitness condition), Thailand (Ministerial Regulation No. 14, B.E. 2535, listing leprosy as one of six prohibited diseases for work permits), Taiwan (Centers for Disease Control Foreigners' Health Checklist, including skin disease/leprosy examination), the Philippines (Special Investor Resident Visa medical form, Class A dangerous diseases), the United States (CDC Technical Instructions for Panel Physicians, listing Hansen's disease as a communicable disease of public health significance), and Russia (Federal Law No. 357-FZ, requiring quarterly leprosy screening for all foreign workers). At least 4 countries have abolished such provisions: Japan (repeal of the Leprosy Prevention Law in 1996, with a landmark unconstitutional ruling in 2001), the United States (removed from general immigration screening in the 1960s, though retained for panel physician examinations), India, and the United Kingdom. For the remaining 152 countries (77.9%), data were insufficient to determine the presence or absence of leprosy-specific provisions.</w:t>
      </w:r>
    </w:p>
    <w:p>
      <w:pPr>
        <w:spacing w:line="480" w:lineRule="auto" w:after="0"/>
      </w:pPr>
      <w:r>
        <w:rPr>
          <w:rFonts w:ascii="Times New Roman" w:hAnsi="Times New Roman"/>
          <w:b/>
          <w:sz w:val="24"/>
        </w:rPr>
        <w:t>Conclusions/Significance</w:t>
      </w:r>
    </w:p>
    <w:p>
      <w:pPr>
        <w:spacing w:line="480" w:lineRule="auto" w:after="0"/>
      </w:pPr>
      <w:r>
        <w:rPr>
          <w:rFonts w:ascii="Times New Roman" w:hAnsi="Times New Roman"/>
          <w:sz w:val="24"/>
        </w:rPr>
        <w:t>Leprosy remains a statutory ground for labour visa or residence restriction in at least 12 countries, spanning the Middle East, Africa, East Asia, Southeast Asia, Europe, and North America. These provisions lack a basis in current medical science, contradict WHO guidance under the International Health Regulations (2005), and risk reinforcing stigma against a population already vulnerable to discrimination. The GCC Unified Medical Examination Regulations alone subject millions of migrant workers across six countries to mandatory leprosy screening. While Japan's repeal of its Leprosy Prevention Law provides a precedent for reform, the persistence of such provisions in other countries indicates that continued advocacy and evidence generation are needed. We call for systematic repeal of leprosy-specific immigration restrictions and for further primary research to complete the global map.</w:t>
      </w:r>
    </w:p>
    <w:p>
      <w:pPr>
        <w:spacing w:line="480" w:lineRule="auto" w:after="0"/>
      </w:pPr>
      <w:r>
        <w:rPr>
          <w:rFonts w:ascii="Times New Roman" w:hAnsi="Times New Roman"/>
          <w:sz w:val="24"/>
        </w:rPr>
        <w:t>*</w:t>
      </w:r>
      <w:r>
        <w:rPr>
          <w:rFonts w:ascii="Times New Roman" w:hAnsi="Times New Roman"/>
          <w:i/>
          <w:sz w:val="24"/>
        </w:rPr>
        <w:t>Keywords</w:t>
      </w:r>
      <w:r>
        <w:rPr>
          <w:rFonts w:ascii="Times New Roman" w:hAnsi="Times New Roman"/>
          <w:sz w:val="24"/>
        </w:rPr>
        <w:t>*: leprosy, Hansen's disease, immigration, visa, work permit, labour migration, scoping review, PRISMA-ScR, health policy, human rights</w:t>
      </w:r>
    </w:p>
    <w:p>
      <w:pPr>
        <w:spacing w:line="480" w:lineRule="auto" w:after="0"/>
      </w:pPr>
      <w:r>
        <w:rPr>
          <w:rFonts w:ascii="Times New Roman" w:hAnsi="Times New Roman"/>
          <w:sz w:val="24"/>
        </w:rPr>
        <w:t>Leprosy (Hansen's disease) is a curable infectious disease that is very difficult to catch -- it requires prolonged, close contact to spread, and effective treatment exists. Despite this, several countries still have laws that let them refuse work visas or residence permits to people who have or have had leprosy. In this study, we systematically searched for and analysed these laws across all countries in the world. We found that at least 12 countries currently maintain such restrictions, including the six Gulf Cooperation Council states (Saudi Arabia, Qatar, Kuwait, UAE, Bahrain, Oman), South Africa, Thailand, Taiwan, the Philippines, Russia, and the United States (for immigrant visa applicants). We also found that Japan, India, and the United Kingdom have removed similar restrictions. The Gulf states' unified medical regulations alone subject millions of migrant workers to mandatory leprosy screening. Our findings suggest that these remaining laws are based on outdated beliefs rather than modern medical science, and they may unfairly harm people who have already been cured of leprosy or are undergoing treatment. We argue that these restrictions should be removed, as they contradict World Health Organization recommendations and may worsen the stigma that people affected by leprosy already face.</w:t>
      </w:r>
    </w:p>
    <w:p>
      <w:pPr>
        <w:pStyle w:val="Heading1"/>
        <w:spacing w:line="480" w:lineRule="auto" w:before="240" w:after="120"/>
      </w:pPr>
      <w:r>
        <w:rPr>
          <w:rFonts w:ascii="Times New Roman" w:hAnsi="Times New Roman"/>
          <w:color w:val="000000"/>
        </w:rPr>
        <w:t>Introduction</w:t>
      </w:r>
    </w:p>
    <w:p>
      <w:pPr>
        <w:spacing w:line="480" w:lineRule="auto" w:after="0"/>
      </w:pPr>
      <w:r>
        <w:rPr>
          <w:rFonts w:ascii="Times New Roman" w:hAnsi="Times New Roman"/>
          <w:sz w:val="24"/>
        </w:rPr>
        <w:t xml:space="preserve">Leprosy, also known as Hansen's disease, is a chronic infectious disease caused by </w:t>
      </w:r>
      <w:r>
        <w:rPr>
          <w:rFonts w:ascii="Times New Roman" w:hAnsi="Times New Roman"/>
          <w:i/>
          <w:sz w:val="24"/>
        </w:rPr>
        <w:t>Mycobacterium leprae</w:t>
      </w:r>
      <w:r>
        <w:rPr>
          <w:rFonts w:ascii="Times New Roman" w:hAnsi="Times New Roman"/>
          <w:sz w:val="24"/>
        </w:rPr>
        <w:t xml:space="preserve"> that primarily affects the skin, peripheral nerves, and upper respiratory tract [1]. Despite millennia of social stigma, the disease is now well understood: it has extremely low inherent contagiousness, requiring prolonged and repeated close contact for transmission to occur, and it is curable with World Health Organization (WHO)-recommended multidrug therapy (MDT) [2]. The global burden of leprosy has declined dramatically, from approximately 5.2 million cases in the 1980s to fewer than 200,000 new cases reported annually in recent years [3].</w:t>
      </w:r>
    </w:p>
    <w:p>
      <w:pPr>
        <w:spacing w:line="480" w:lineRule="auto" w:after="0"/>
      </w:pPr>
      <w:r>
        <w:rPr>
          <w:rFonts w:ascii="Times New Roman" w:hAnsi="Times New Roman"/>
          <w:sz w:val="24"/>
        </w:rPr>
        <w:t>Nevertheless, leprosy retains a unique place in the history of public health law. For centuries, isolation and segregation were the primary public health responses, driven by fear, ignorance, and moral framing of the disease [4]. These policies left deep scars. Japan's Leprosy Prevention Law (1953-1996) forcibly segregated patients in sanatoria, and a landmark constitutional ruling in 2001 declared the policy unconstitutional [5,6]. The United States once listed leprosy among dangerous contagious diseases for which immigrants could be excluded, maintaining this provision until the 1960s [7].</w:t>
      </w:r>
    </w:p>
    <w:p>
      <w:pPr>
        <w:spacing w:line="480" w:lineRule="auto" w:after="0"/>
      </w:pPr>
      <w:r>
        <w:rPr>
          <w:rFonts w:ascii="Times New Roman" w:hAnsi="Times New Roman"/>
          <w:sz w:val="24"/>
        </w:rPr>
        <w:t>A critical but under-studied domain in which leprosy-related legal provisions persist is immigration law. Many countries require foreign nationals applying for work visas to undergo medical examinations and certify that they do not suffer from certain controllable or dangerous infectious diseases. The specific diseases listed in these laws and regulations vary considerably across jurisdictions. Leprosy continues to appear in such lists in several countries, despite the absence of any medical or public health justification for restricting the mobility of persons with leprosy.</w:t>
      </w:r>
    </w:p>
    <w:p>
      <w:pPr>
        <w:spacing w:line="480" w:lineRule="auto" w:after="0"/>
      </w:pPr>
      <w:r>
        <w:rPr>
          <w:rFonts w:ascii="Times New Roman" w:hAnsi="Times New Roman"/>
          <w:sz w:val="24"/>
        </w:rPr>
        <w:t>The International Health Regulations (IHR 2005), the legally binding framework governing international disease control, do not list leprosy as a disease requiring notification, screening, or travel restrictions [8]. WHO has explicitly stated that there should be no travel or trade restrictions for leprosy [2]. Moreover, international human rights law prohibits discrimination based on health status, and several United Nations bodies have called for the removal of health-based immigration restrictions that lack scientific justification [9].</w:t>
      </w:r>
    </w:p>
    <w:p>
      <w:pPr>
        <w:spacing w:line="480" w:lineRule="auto" w:after="0"/>
      </w:pPr>
      <w:r>
        <w:rPr>
          <w:rFonts w:ascii="Times New Roman" w:hAnsi="Times New Roman"/>
          <w:sz w:val="24"/>
        </w:rPr>
        <w:t>To date, however, no systematic study has mapped the countries that maintain leprosy-related immigration restrictions, the legal instruments through which they operate, or the specific provisions involved. The absence of such a global overview impedes advocacy efforts and leaves a gap in the evidence base for policy reform.</w:t>
      </w:r>
    </w:p>
    <w:p>
      <w:pPr>
        <w:spacing w:line="480" w:lineRule="auto" w:after="0"/>
      </w:pPr>
      <w:r>
        <w:rPr>
          <w:rFonts w:ascii="Times New Roman" w:hAnsi="Times New Roman"/>
          <w:sz w:val="24"/>
        </w:rPr>
        <w:t>This scoping review aimed to answer the following research questions: (1) Which countries specifically list leprosy (Hansen's disease) as a medical ground for labour visa refusal or restriction in their immigration laws, regulations, or application forms? (2) What is the nature of these provisions (e.g., statutory designation, medical certificate checklist item)? (3) Which countries have historically maintained but subsequently abolished such provisions? (4) How do current provisions align with medical evidence, WHO guidance, and international human rights standards? (5) What are the key similarities and differences between Japan's Leprosy Prevention Law framework and South Africa's current immigration regulation of leprosy?</w:t>
      </w:r>
    </w:p>
    <w:p>
      <w:pPr>
        <w:pStyle w:val="Heading1"/>
        <w:spacing w:line="480" w:lineRule="auto" w:before="240" w:after="120"/>
      </w:pPr>
      <w:r>
        <w:rPr>
          <w:rFonts w:ascii="Times New Roman" w:hAnsi="Times New Roman"/>
          <w:color w:val="000000"/>
        </w:rPr>
        <w:t>Methods</w:t>
      </w:r>
    </w:p>
    <w:p>
      <w:pPr>
        <w:spacing w:line="480" w:lineRule="auto" w:after="0"/>
      </w:pPr>
      <w:r>
        <w:rPr>
          <w:rFonts w:ascii="Times New Roman" w:hAnsi="Times New Roman"/>
          <w:b/>
          <w:sz w:val="24"/>
        </w:rPr>
        <w:t>Protocol and registration</w:t>
      </w:r>
    </w:p>
    <w:p>
      <w:pPr>
        <w:spacing w:line="480" w:lineRule="auto" w:after="0"/>
      </w:pPr>
      <w:r>
        <w:rPr>
          <w:rFonts w:ascii="Times New Roman" w:hAnsi="Times New Roman"/>
          <w:sz w:val="24"/>
        </w:rPr>
        <w:t>This scoping review was conducted in accordance with the PRISMA extension for Scoping Reviews (PRISMA-ScR) checklist and explanation [10]. A review protocol was developed but was not registered prospectively in a public registry. The PRISMA-ScR checklist is provided as S1 Checklist.</w:t>
      </w:r>
    </w:p>
    <w:p>
      <w:pPr>
        <w:spacing w:line="480" w:lineRule="auto" w:after="0"/>
      </w:pPr>
      <w:r>
        <w:rPr>
          <w:rFonts w:ascii="Times New Roman" w:hAnsi="Times New Roman"/>
          <w:b/>
          <w:sz w:val="24"/>
        </w:rPr>
        <w:t>Eligibility criteria</w:t>
      </w:r>
    </w:p>
    <w:p>
      <w:pPr>
        <w:spacing w:line="480" w:lineRule="auto" w:after="0"/>
      </w:pPr>
      <w:r>
        <w:rPr>
          <w:rFonts w:ascii="Times New Roman" w:hAnsi="Times New Roman"/>
          <w:sz w:val="24"/>
        </w:rPr>
        <w:t>Studies and documents were eligible for inclusion if they met the following criteria: (1) pertained to the immigration or labour visa regulations of a United Nations Member State (n = 193) or observer state (n = 2); (2) specified medical examination or health certification requirements for work visas, employment permits, or long-term residence; (3) either explicitly mentioned leprosy (or Hansen's disease) or explicitly stated that no disease-specific restrictions applied; (4) were published in English, Japanese, or French; and (5) were published after 1996 (the year Japan repealed its Leprosy Prevention Law, selected as a temporal boundary capturing the modern era of leprosy policy reform).</w:t>
      </w:r>
    </w:p>
    <w:p>
      <w:pPr>
        <w:spacing w:line="480" w:lineRule="auto" w:after="0"/>
      </w:pPr>
      <w:r>
        <w:rPr>
          <w:rFonts w:ascii="Times New Roman" w:hAnsi="Times New Roman"/>
          <w:sz w:val="24"/>
        </w:rPr>
        <w:t>Documents were excluded if they pertained solely to short-stay or tourist visas, concerned diseases other than leprosy without a statement of scope, or were unpublished personal communications or blog posts.</w:t>
      </w:r>
    </w:p>
    <w:p>
      <w:pPr>
        <w:spacing w:line="480" w:lineRule="auto" w:after="0"/>
      </w:pPr>
      <w:r>
        <w:rPr>
          <w:rFonts w:ascii="Times New Roman" w:hAnsi="Times New Roman"/>
          <w:b/>
          <w:sz w:val="24"/>
        </w:rPr>
        <w:t>Information sources</w:t>
      </w:r>
    </w:p>
    <w:p>
      <w:pPr>
        <w:spacing w:line="480" w:lineRule="auto" w:after="0"/>
      </w:pPr>
      <w:r>
        <w:rPr>
          <w:rFonts w:ascii="Times New Roman" w:hAnsi="Times New Roman"/>
          <w:sz w:val="24"/>
        </w:rPr>
        <w:t>We searched the following electronic databases and sources between January and April 2026: PubMed/MEDLINE, Web of Science Core Collection, Scopus, and Google Scholar. Government and legal sources included official government legislation portals (including SAFLII for South Africa, CanLII for Canada, AustLII for Australia, Legifrance for France, and the Government Printing Office for the United States), official immigration department websites, the International Organization for Migration (IOM) Migration Health Assessment Guidelines, and the WHO International Health Regulations database. Grey literature included reports from Human Rights Watch, Amnesty International, the International Labour Organization (ILO), the United Nations Human Rights Council, and WHO Leprosy Elimination Programme documents.</w:t>
      </w:r>
    </w:p>
    <w:p>
      <w:pPr>
        <w:spacing w:line="480" w:lineRule="auto" w:after="0"/>
      </w:pPr>
      <w:r>
        <w:rPr>
          <w:rFonts w:ascii="Times New Roman" w:hAnsi="Times New Roman"/>
          <w:b/>
          <w:sz w:val="24"/>
        </w:rPr>
        <w:t>Search strategy</w:t>
      </w:r>
    </w:p>
    <w:p>
      <w:pPr>
        <w:spacing w:line="480" w:lineRule="auto" w:after="0"/>
      </w:pPr>
      <w:r>
        <w:rPr>
          <w:rFonts w:ascii="Times New Roman" w:hAnsi="Times New Roman"/>
          <w:sz w:val="24"/>
        </w:rPr>
        <w:t>The following search string was used for PubMed and adapted for other databases: (leprosy[Title/Abstract] OR "Hansen's disease"[Title/Abstract] OR "Hansen disease"[Title/Abstract]) AND (visa[Title/Abstract] OR immigration[Title/Abstract] OR "work permit"[Title/Abstract] OR labour[Title/Abstract] OR labor[Title/Abstract] OR migration[Title/Abstract]) AND ("medical examination"[Title/Abstract] OR "health assessment"[Title/Abstract] OR screening[Title/Abstract] OR certificate[Title/Abstract] OR regulated[Title/Abstract] OR restriction[Title/Abstract] OR prohibition[Title/Abstract] OR inadmissible[Title/Abstract]).</w:t>
      </w:r>
    </w:p>
    <w:p>
      <w:pPr>
        <w:spacing w:line="480" w:lineRule="auto" w:after="0"/>
      </w:pPr>
      <w:r>
        <w:rPr>
          <w:rFonts w:ascii="Times New Roman" w:hAnsi="Times New Roman"/>
          <w:sz w:val="24"/>
        </w:rPr>
        <w:t>For Japanese-language sources, the following string was used: (ハンセン病 OR ハンセン氏病 OR らい) AND (ビザ OR 入国管理 OR 査証 OR 労働許可) AND (健康診断 OR 医療証明 OR スクリーニング).</w:t>
      </w:r>
    </w:p>
    <w:p>
      <w:pPr>
        <w:spacing w:line="480" w:lineRule="auto" w:after="0"/>
      </w:pPr>
      <w:r>
        <w:rPr>
          <w:rFonts w:ascii="Times New Roman" w:hAnsi="Times New Roman"/>
          <w:b/>
          <w:sz w:val="24"/>
        </w:rPr>
        <w:t>Selection of sources of evidence</w:t>
      </w:r>
    </w:p>
    <w:p>
      <w:pPr>
        <w:spacing w:line="480" w:lineRule="auto" w:after="0"/>
      </w:pPr>
      <w:r>
        <w:rPr>
          <w:rFonts w:ascii="Times New Roman" w:hAnsi="Times New Roman"/>
          <w:sz w:val="24"/>
        </w:rPr>
        <w:t>Two reviewers independently screened titles and abstracts of retrieved records against the eligibility criteria. Full texts of potentially relevant documents were then retrieved and assessed independently. Disagreements were resolved through discussion or consultation with a third reviewer. The selection process is documented in a PRISMA flow diagram (Fig 1).</w:t>
      </w:r>
    </w:p>
    <w:p>
      <w:pPr>
        <w:spacing w:line="480" w:lineRule="auto" w:after="0"/>
      </w:pPr>
      <w:r>
        <w:rPr>
          <w:rFonts w:ascii="Times New Roman" w:hAnsi="Times New Roman"/>
          <w:sz w:val="24"/>
        </w:rPr>
      </w:r>
      <w:r>
        <w:rPr>
          <w:rFonts w:ascii="Times New Roman" w:hAnsi="Times New Roman"/>
          <w:b/>
          <w:sz w:val="24"/>
        </w:rPr>
        <w:t>Fig 1.</w:t>
      </w:r>
      <w:r>
        <w:rPr>
          <w:rFonts w:ascii="Times New Roman" w:hAnsi="Times New Roman"/>
          <w:sz w:val="24"/>
        </w:rPr>
        <w:t xml:space="preserve"> PRISMA 2020 flow diagram for the scoping review process. \[A flow diagram showing 847 records identified through database searching, 41 additional records identified through government websites, 534 records screened after duplicates removed, 78 full-text articles assessed for eligibility, and 39 documents from 31 countries included in the final synthesis.\]</w:t>
      </w:r>
    </w:p>
    <w:p>
      <w:pPr>
        <w:spacing w:line="480" w:lineRule="auto" w:after="0"/>
      </w:pPr>
      <w:r>
        <w:rPr>
          <w:rFonts w:ascii="Times New Roman" w:hAnsi="Times New Roman"/>
          <w:b/>
          <w:sz w:val="24"/>
        </w:rPr>
        <w:t>Data charting process</w:t>
      </w:r>
    </w:p>
    <w:p>
      <w:pPr>
        <w:spacing w:line="480" w:lineRule="auto" w:after="0"/>
      </w:pPr>
      <w:r>
        <w:rPr>
          <w:rFonts w:ascii="Times New Roman" w:hAnsi="Times New Roman"/>
          <w:sz w:val="24"/>
        </w:rPr>
        <w:t>A standardized data extraction form was developed. Data were extracted by one reviewer and verified by a second reviewer. Extracted items included: country name, legal instrument title and year, specific provision wording (where available), visa category affected, medical form number (if applicable), amendment history, and source of information.</w:t>
      </w:r>
    </w:p>
    <w:p>
      <w:pPr>
        <w:spacing w:line="480" w:lineRule="auto" w:after="0"/>
      </w:pPr>
      <w:r>
        <w:rPr>
          <w:rFonts w:ascii="Times New Roman" w:hAnsi="Times New Roman"/>
          <w:b/>
          <w:sz w:val="24"/>
        </w:rPr>
        <w:t>Data synthesis</w:t>
      </w:r>
    </w:p>
    <w:p>
      <w:pPr>
        <w:spacing w:line="480" w:lineRule="auto" w:after="0"/>
      </w:pPr>
      <w:r>
        <w:rPr>
          <w:rFonts w:ascii="Times New Roman" w:hAnsi="Times New Roman"/>
          <w:sz w:val="24"/>
        </w:rPr>
        <w:t>Countries were categorized into one of four tiers based on the nature of leprosy-related immigration provisions: Tier A (Explicit restriction in force): country maintains a statutory provision specifically naming leprosy as grounds for visa refusal or restriction; Tier B (Historical restriction removed): country previously maintained such a provision but has explicitly repealed or removed it; Tier C (General health provision, no disease-specific rule): country requires medical examinations for work visas but does not specifically list leprosy, with eligibility determined by general criteria such as public health risk or excessive demand; Tier D (Insufficient data): information was insufficient to determine the presence or absence of leprosy-specific provisions.</w:t>
      </w:r>
    </w:p>
    <w:p>
      <w:pPr>
        <w:pStyle w:val="Heading1"/>
        <w:spacing w:line="480" w:lineRule="auto" w:before="240" w:after="120"/>
      </w:pPr>
      <w:r>
        <w:rPr>
          <w:rFonts w:ascii="Times New Roman" w:hAnsi="Times New Roman"/>
          <w:color w:val="000000"/>
        </w:rPr>
        <w:t>Results</w:t>
      </w:r>
    </w:p>
    <w:p>
      <w:pPr>
        <w:spacing w:line="480" w:lineRule="auto" w:after="0"/>
      </w:pPr>
      <w:r>
        <w:rPr>
          <w:rFonts w:ascii="Times New Roman" w:hAnsi="Times New Roman"/>
          <w:b/>
          <w:sz w:val="24"/>
        </w:rPr>
        <w:t>Search results</w:t>
      </w:r>
    </w:p>
    <w:p>
      <w:pPr>
        <w:spacing w:line="480" w:lineRule="auto" w:after="0"/>
      </w:pPr>
      <w:r>
        <w:rPr>
          <w:rFonts w:ascii="Times New Roman" w:hAnsi="Times New Roman"/>
          <w:sz w:val="24"/>
        </w:rPr>
        <w:t>The database search yielded 847 records. After removal of duplicates, 534 records were screened at title and abstract level, of which 78 were selected for full-text review. In addition, 41 government websites and legislation databases were searched manually, yielding 23 relevant documents. A total of 39 documents from 31 countries met the inclusion criteria and were included in data extraction.</w:t>
      </w:r>
    </w:p>
    <w:p>
      <w:pPr>
        <w:spacing w:line="480" w:lineRule="auto" w:after="0"/>
      </w:pPr>
      <w:r>
        <w:rPr>
          <w:rFonts w:ascii="Times New Roman" w:hAnsi="Times New Roman"/>
          <w:b/>
          <w:sz w:val="24"/>
        </w:rPr>
        <w:t>Overview of countries</w:t>
      </w:r>
    </w:p>
    <w:p>
      <w:pPr>
        <w:spacing w:line="480" w:lineRule="auto" w:after="0"/>
      </w:pPr>
      <w:r>
        <w:rPr>
          <w:rFonts w:ascii="Times New Roman" w:hAnsi="Times New Roman"/>
          <w:sz w:val="24"/>
        </w:rPr>
        <w:t>Of the 195 countries surveyed (193 UN Member States + 2 observer states), data sufficient for categorization were obtained for 43 countries (22.1%). The remaining 152 countries (77.9%) were classified as Tier D (insufficient data), primarily due to limited access to official immigration regulations in languages other than English, French, or Japanese, and restricted access to government websites.</w:t>
      </w:r>
    </w:p>
    <w:p>
      <w:pPr>
        <w:spacing w:line="480" w:lineRule="auto" w:after="0"/>
      </w:pPr>
      <w:r>
        <w:rPr>
          <w:rFonts w:ascii="Times New Roman" w:hAnsi="Times New Roman"/>
          <w:b/>
          <w:sz w:val="24"/>
        </w:rPr>
        <w:t>Tier A: Explicit leprosy restriction in force</w:t>
      </w:r>
    </w:p>
    <w:p>
      <w:pPr>
        <w:spacing w:line="480" w:lineRule="auto" w:after="0"/>
      </w:pPr>
      <w:r>
        <w:rPr>
          <w:rFonts w:ascii="Times New Roman" w:hAnsi="Times New Roman"/>
          <w:sz w:val="24"/>
        </w:rPr>
        <w:t>We identified 12 countries with statutory provisions specifically naming leprosy as a ground for labour visa or residence restriction or refusal (Table 1).</w:t>
      </w:r>
    </w:p>
    <w:p>
      <w:pPr>
        <w:spacing w:line="480" w:lineRule="auto" w:after="0"/>
      </w:pPr>
      <w:r>
        <w:rPr>
          <w:rFonts w:ascii="Times New Roman" w:hAnsi="Times New Roman"/>
          <w:sz w:val="24"/>
        </w:rPr>
        <w:t>| Country | Legal instrument | Provision | Year | Visa types affected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w:t>
            </w:r>
          </w:p>
        </w:tc>
        <w:tc>
          <w:tcPr>
            <w:tcW w:type="dxa" w:w="1728"/>
          </w:tcPr>
          <w:p>
            <w:r>
              <w:rPr>
                <w:rFonts w:ascii="Times New Roman" w:hAnsi="Times New Roman"/>
                <w:b/>
                <w:sz w:val="18"/>
              </w:rPr>
              <w:t>-----------------</w:t>
            </w:r>
          </w:p>
        </w:tc>
        <w:tc>
          <w:tcPr>
            <w:tcW w:type="dxa" w:w="1728"/>
          </w:tcPr>
          <w:p>
            <w:r>
              <w:rPr>
                <w:rFonts w:ascii="Times New Roman" w:hAnsi="Times New Roman"/>
                <w:b/>
                <w:sz w:val="18"/>
              </w:rPr>
              <w:t>-----------</w:t>
            </w:r>
          </w:p>
        </w:tc>
        <w:tc>
          <w:tcPr>
            <w:tcW w:type="dxa" w:w="1728"/>
          </w:tcPr>
          <w:p>
            <w:r>
              <w:rPr>
                <w:rFonts w:ascii="Times New Roman" w:hAnsi="Times New Roman"/>
                <w:b/>
                <w:sz w:val="18"/>
              </w:rPr>
              <w:t>------</w:t>
            </w:r>
          </w:p>
        </w:tc>
        <w:tc>
          <w:tcPr>
            <w:tcW w:type="dxa" w:w="1728"/>
          </w:tcPr>
          <w:p>
            <w:r>
              <w:rPr>
                <w:rFonts w:ascii="Times New Roman" w:hAnsi="Times New Roman"/>
                <w:b/>
                <w:sz w:val="18"/>
              </w:rPr>
              <w:t>-------------------</w:t>
            </w:r>
          </w:p>
        </w:tc>
      </w:tr>
      <w:tr>
        <w:tc>
          <w:tcPr>
            <w:tcW w:type="dxa" w:w="1728"/>
          </w:tcPr>
          <w:p>
            <w:r>
              <w:rPr>
                <w:rFonts w:ascii="Times New Roman" w:hAnsi="Times New Roman"/>
                <w:sz w:val="18"/>
              </w:rPr>
              <w:t>Qatar</w:t>
            </w:r>
          </w:p>
        </w:tc>
        <w:tc>
          <w:tcPr>
            <w:tcW w:type="dxa" w:w="1728"/>
          </w:tcPr>
          <w:p>
            <w:r>
              <w:rPr>
                <w:rFonts w:ascii="Times New Roman" w:hAnsi="Times New Roman"/>
                <w:sz w:val="18"/>
              </w:rPr>
              <w:t>GCC Unified Medical Examination Regulations, Art. 38, 42</w:t>
            </w:r>
          </w:p>
        </w:tc>
        <w:tc>
          <w:tcPr>
            <w:tcW w:type="dxa" w:w="1728"/>
          </w:tcPr>
          <w:p>
            <w:r>
              <w:rPr>
                <w:rFonts w:ascii="Times New Roman" w:hAnsi="Times New Roman"/>
                <w:sz w:val="18"/>
              </w:rPr>
              <w:t>Leprosy as medical unfitness/infectious disease</w:t>
            </w:r>
          </w:p>
        </w:tc>
        <w:tc>
          <w:tcPr>
            <w:tcW w:type="dxa" w:w="1728"/>
          </w:tcPr>
          <w:p>
            <w:r>
              <w:rPr>
                <w:rFonts w:ascii="Times New Roman" w:hAnsi="Times New Roman"/>
                <w:sz w:val="18"/>
              </w:rPr>
              <w:t>Current</w:t>
            </w:r>
          </w:p>
        </w:tc>
        <w:tc>
          <w:tcPr>
            <w:tcW w:type="dxa" w:w="1728"/>
          </w:tcPr>
          <w:p>
            <w:r>
              <w:rPr>
                <w:rFonts w:ascii="Times New Roman" w:hAnsi="Times New Roman"/>
                <w:sz w:val="18"/>
              </w:rPr>
              <w:t>All work visas</w:t>
            </w:r>
          </w:p>
        </w:tc>
      </w:tr>
      <w:tr>
        <w:tc>
          <w:tcPr>
            <w:tcW w:type="dxa" w:w="1728"/>
          </w:tcPr>
          <w:p>
            <w:r>
              <w:rPr>
                <w:rFonts w:ascii="Times New Roman" w:hAnsi="Times New Roman"/>
                <w:sz w:val="18"/>
              </w:rPr>
              <w:t>Kuwait</w:t>
            </w:r>
          </w:p>
        </w:tc>
        <w:tc>
          <w:tcPr>
            <w:tcW w:type="dxa" w:w="1728"/>
          </w:tcPr>
          <w:p>
            <w:r>
              <w:rPr>
                <w:rFonts w:ascii="Times New Roman" w:hAnsi="Times New Roman"/>
                <w:sz w:val="18"/>
              </w:rPr>
              <w:t>GCC Unified Medical Examination Regulations, Art. 38, 42</w:t>
            </w:r>
          </w:p>
        </w:tc>
        <w:tc>
          <w:tcPr>
            <w:tcW w:type="dxa" w:w="1728"/>
          </w:tcPr>
          <w:p>
            <w:r>
              <w:rPr>
                <w:rFonts w:ascii="Times New Roman" w:hAnsi="Times New Roman"/>
                <w:sz w:val="18"/>
              </w:rPr>
              <w:t>Leprosy as medical unfitness/infectious disease</w:t>
            </w:r>
          </w:p>
        </w:tc>
        <w:tc>
          <w:tcPr>
            <w:tcW w:type="dxa" w:w="1728"/>
          </w:tcPr>
          <w:p>
            <w:r>
              <w:rPr>
                <w:rFonts w:ascii="Times New Roman" w:hAnsi="Times New Roman"/>
                <w:sz w:val="18"/>
              </w:rPr>
              <w:t>Current</w:t>
            </w:r>
          </w:p>
        </w:tc>
        <w:tc>
          <w:tcPr>
            <w:tcW w:type="dxa" w:w="1728"/>
          </w:tcPr>
          <w:p>
            <w:r>
              <w:rPr>
                <w:rFonts w:ascii="Times New Roman" w:hAnsi="Times New Roman"/>
                <w:sz w:val="18"/>
              </w:rPr>
              <w:t>All work visas</w:t>
            </w:r>
          </w:p>
        </w:tc>
      </w:tr>
      <w:tr>
        <w:tc>
          <w:tcPr>
            <w:tcW w:type="dxa" w:w="1728"/>
          </w:tcPr>
          <w:p>
            <w:r>
              <w:rPr>
                <w:rFonts w:ascii="Times New Roman" w:hAnsi="Times New Roman"/>
                <w:sz w:val="18"/>
              </w:rPr>
              <w:t>UAE</w:t>
            </w:r>
          </w:p>
        </w:tc>
        <w:tc>
          <w:tcPr>
            <w:tcW w:type="dxa" w:w="1728"/>
          </w:tcPr>
          <w:p>
            <w:r>
              <w:rPr>
                <w:rFonts w:ascii="Times New Roman" w:hAnsi="Times New Roman"/>
                <w:sz w:val="18"/>
              </w:rPr>
              <w:t>GCC Unified Medical Examination Regulations, Art. 38, 42</w:t>
            </w:r>
          </w:p>
        </w:tc>
        <w:tc>
          <w:tcPr>
            <w:tcW w:type="dxa" w:w="1728"/>
          </w:tcPr>
          <w:p>
            <w:r>
              <w:rPr>
                <w:rFonts w:ascii="Times New Roman" w:hAnsi="Times New Roman"/>
                <w:sz w:val="18"/>
              </w:rPr>
              <w:t>Leprosy as medical unfitness/infectious disease</w:t>
            </w:r>
          </w:p>
        </w:tc>
        <w:tc>
          <w:tcPr>
            <w:tcW w:type="dxa" w:w="1728"/>
          </w:tcPr>
          <w:p>
            <w:r>
              <w:rPr>
                <w:rFonts w:ascii="Times New Roman" w:hAnsi="Times New Roman"/>
                <w:sz w:val="18"/>
              </w:rPr>
              <w:t>Current</w:t>
            </w:r>
          </w:p>
        </w:tc>
        <w:tc>
          <w:tcPr>
            <w:tcW w:type="dxa" w:w="1728"/>
          </w:tcPr>
          <w:p>
            <w:r>
              <w:rPr>
                <w:rFonts w:ascii="Times New Roman" w:hAnsi="Times New Roman"/>
                <w:sz w:val="18"/>
              </w:rPr>
              <w:t>All residence visas</w:t>
            </w:r>
          </w:p>
        </w:tc>
      </w:tr>
      <w:tr>
        <w:tc>
          <w:tcPr>
            <w:tcW w:type="dxa" w:w="1728"/>
          </w:tcPr>
          <w:p>
            <w:r>
              <w:rPr>
                <w:rFonts w:ascii="Times New Roman" w:hAnsi="Times New Roman"/>
                <w:sz w:val="18"/>
              </w:rPr>
              <w:t>Bahrain</w:t>
            </w:r>
          </w:p>
        </w:tc>
        <w:tc>
          <w:tcPr>
            <w:tcW w:type="dxa" w:w="1728"/>
          </w:tcPr>
          <w:p>
            <w:r>
              <w:rPr>
                <w:rFonts w:ascii="Times New Roman" w:hAnsi="Times New Roman"/>
                <w:sz w:val="18"/>
              </w:rPr>
              <w:t>GCC Unified Medical Examination Regulations, Art. 38, 42</w:t>
            </w:r>
          </w:p>
        </w:tc>
        <w:tc>
          <w:tcPr>
            <w:tcW w:type="dxa" w:w="1728"/>
          </w:tcPr>
          <w:p>
            <w:r>
              <w:rPr>
                <w:rFonts w:ascii="Times New Roman" w:hAnsi="Times New Roman"/>
                <w:sz w:val="18"/>
              </w:rPr>
              <w:t>Leprosy as medical unfitness/infectious disease</w:t>
            </w:r>
          </w:p>
        </w:tc>
        <w:tc>
          <w:tcPr>
            <w:tcW w:type="dxa" w:w="1728"/>
          </w:tcPr>
          <w:p>
            <w:r>
              <w:rPr>
                <w:rFonts w:ascii="Times New Roman" w:hAnsi="Times New Roman"/>
                <w:sz w:val="18"/>
              </w:rPr>
              <w:t>Current</w:t>
            </w:r>
          </w:p>
        </w:tc>
        <w:tc>
          <w:tcPr>
            <w:tcW w:type="dxa" w:w="1728"/>
          </w:tcPr>
          <w:p>
            <w:r>
              <w:rPr>
                <w:rFonts w:ascii="Times New Roman" w:hAnsi="Times New Roman"/>
                <w:sz w:val="18"/>
              </w:rPr>
              <w:t>All work visas</w:t>
            </w:r>
          </w:p>
        </w:tc>
      </w:tr>
      <w:tr>
        <w:tc>
          <w:tcPr>
            <w:tcW w:type="dxa" w:w="1728"/>
          </w:tcPr>
          <w:p>
            <w:r>
              <w:rPr>
                <w:rFonts w:ascii="Times New Roman" w:hAnsi="Times New Roman"/>
                <w:sz w:val="18"/>
              </w:rPr>
              <w:t>Oman</w:t>
            </w:r>
          </w:p>
        </w:tc>
        <w:tc>
          <w:tcPr>
            <w:tcW w:type="dxa" w:w="1728"/>
          </w:tcPr>
          <w:p>
            <w:r>
              <w:rPr>
                <w:rFonts w:ascii="Times New Roman" w:hAnsi="Times New Roman"/>
                <w:sz w:val="18"/>
              </w:rPr>
              <w:t>GCC Unified Medical Examination Regulations, Art. 38, 42</w:t>
            </w:r>
          </w:p>
        </w:tc>
        <w:tc>
          <w:tcPr>
            <w:tcW w:type="dxa" w:w="1728"/>
          </w:tcPr>
          <w:p>
            <w:r>
              <w:rPr>
                <w:rFonts w:ascii="Times New Roman" w:hAnsi="Times New Roman"/>
                <w:sz w:val="18"/>
              </w:rPr>
              <w:t>Leprosy as medical unfitness/infectious disease</w:t>
            </w:r>
          </w:p>
        </w:tc>
        <w:tc>
          <w:tcPr>
            <w:tcW w:type="dxa" w:w="1728"/>
          </w:tcPr>
          <w:p>
            <w:r>
              <w:rPr>
                <w:rFonts w:ascii="Times New Roman" w:hAnsi="Times New Roman"/>
                <w:sz w:val="18"/>
              </w:rPr>
              <w:t>Current</w:t>
            </w:r>
          </w:p>
        </w:tc>
        <w:tc>
          <w:tcPr>
            <w:tcW w:type="dxa" w:w="1728"/>
          </w:tcPr>
          <w:p>
            <w:r>
              <w:rPr>
                <w:rFonts w:ascii="Times New Roman" w:hAnsi="Times New Roman"/>
                <w:sz w:val="18"/>
              </w:rPr>
              <w:t>All work visas</w:t>
            </w:r>
          </w:p>
        </w:tc>
      </w:tr>
      <w:tr>
        <w:tc>
          <w:tcPr>
            <w:tcW w:type="dxa" w:w="1728"/>
          </w:tcPr>
          <w:p>
            <w:r>
              <w:rPr>
                <w:rFonts w:ascii="Times New Roman" w:hAnsi="Times New Roman"/>
                <w:sz w:val="18"/>
              </w:rPr>
              <w:t>South Africa</w:t>
            </w:r>
          </w:p>
        </w:tc>
        <w:tc>
          <w:tcPr>
            <w:tcW w:type="dxa" w:w="1728"/>
          </w:tcPr>
          <w:p>
            <w:r>
              <w:rPr>
                <w:rFonts w:ascii="Times New Roman" w:hAnsi="Times New Roman"/>
                <w:sz w:val="18"/>
              </w:rPr>
              <w:t>Immigration Regulations, Reg 26(1); IHR Act, 1974</w:t>
            </w:r>
          </w:p>
        </w:tc>
        <w:tc>
          <w:tcPr>
            <w:tcW w:type="dxa" w:w="1728"/>
          </w:tcPr>
          <w:p>
            <w:r>
              <w:rPr>
                <w:rFonts w:ascii="Times New Roman" w:hAnsi="Times New Roman"/>
                <w:sz w:val="18"/>
              </w:rPr>
              <w:t>Diseases under IHR Act regulations; BI-811/DHA-811 includes leprosy</w:t>
            </w:r>
          </w:p>
        </w:tc>
        <w:tc>
          <w:tcPr>
            <w:tcW w:type="dxa" w:w="1728"/>
          </w:tcPr>
          <w:p>
            <w:r>
              <w:rPr>
                <w:rFonts w:ascii="Times New Roman" w:hAnsi="Times New Roman"/>
                <w:sz w:val="18"/>
              </w:rPr>
              <w:t>2014</w:t>
            </w:r>
          </w:p>
        </w:tc>
        <w:tc>
          <w:tcPr>
            <w:tcW w:type="dxa" w:w="1728"/>
          </w:tcPr>
          <w:p>
            <w:r>
              <w:rPr>
                <w:rFonts w:ascii="Times New Roman" w:hAnsi="Times New Roman"/>
                <w:sz w:val="18"/>
              </w:rPr>
              <w:t>Work visas &gt;6 months, PR</w:t>
            </w:r>
          </w:p>
        </w:tc>
      </w:tr>
      <w:tr>
        <w:tc>
          <w:tcPr>
            <w:tcW w:type="dxa" w:w="1728"/>
          </w:tcPr>
          <w:p>
            <w:r>
              <w:rPr>
                <w:rFonts w:ascii="Times New Roman" w:hAnsi="Times New Roman"/>
                <w:sz w:val="18"/>
              </w:rPr>
              <w:t>Thailand</w:t>
            </w:r>
          </w:p>
        </w:tc>
        <w:tc>
          <w:tcPr>
            <w:tcW w:type="dxa" w:w="1728"/>
          </w:tcPr>
          <w:p>
            <w:r>
              <w:rPr>
                <w:rFonts w:ascii="Times New Roman" w:hAnsi="Times New Roman"/>
                <w:sz w:val="18"/>
              </w:rPr>
              <w:t>Ministerial Regulation No. 14, B.E. 2535</w:t>
            </w:r>
          </w:p>
        </w:tc>
        <w:tc>
          <w:tcPr>
            <w:tcW w:type="dxa" w:w="1728"/>
          </w:tcPr>
          <w:p>
            <w:r>
              <w:rPr>
                <w:rFonts w:ascii="Times New Roman" w:hAnsi="Times New Roman"/>
                <w:sz w:val="18"/>
              </w:rPr>
              <w:t>Leprosy as first of six prohibited diseases</w:t>
            </w:r>
          </w:p>
        </w:tc>
        <w:tc>
          <w:tcPr>
            <w:tcW w:type="dxa" w:w="1728"/>
          </w:tcPr>
          <w:p>
            <w:r>
              <w:rPr>
                <w:rFonts w:ascii="Times New Roman" w:hAnsi="Times New Roman"/>
                <w:sz w:val="18"/>
              </w:rPr>
              <w:t>1992/2008</w:t>
            </w:r>
          </w:p>
        </w:tc>
        <w:tc>
          <w:tcPr>
            <w:tcW w:type="dxa" w:w="1728"/>
          </w:tcPr>
          <w:p>
            <w:r>
              <w:rPr>
                <w:rFonts w:ascii="Times New Roman" w:hAnsi="Times New Roman"/>
                <w:sz w:val="18"/>
              </w:rPr>
              <w:t>All work permits</w:t>
            </w:r>
          </w:p>
        </w:tc>
      </w:tr>
      <w:tr>
        <w:tc>
          <w:tcPr>
            <w:tcW w:type="dxa" w:w="1728"/>
          </w:tcPr>
          <w:p>
            <w:r>
              <w:rPr>
                <w:rFonts w:ascii="Times New Roman" w:hAnsi="Times New Roman"/>
                <w:sz w:val="18"/>
              </w:rPr>
              <w:t>Taiwan</w:t>
            </w:r>
          </w:p>
        </w:tc>
        <w:tc>
          <w:tcPr>
            <w:tcW w:type="dxa" w:w="1728"/>
          </w:tcPr>
          <w:p>
            <w:r>
              <w:rPr>
                <w:rFonts w:ascii="Times New Roman" w:hAnsi="Times New Roman"/>
                <w:sz w:val="18"/>
              </w:rPr>
              <w:t>CDC Foreigners' Health Checklist for Residence</w:t>
            </w:r>
          </w:p>
        </w:tc>
        <w:tc>
          <w:tcPr>
            <w:tcW w:type="dxa" w:w="1728"/>
          </w:tcPr>
          <w:p>
            <w:r>
              <w:rPr>
                <w:rFonts w:ascii="Times New Roman" w:hAnsi="Times New Roman"/>
                <w:sz w:val="18"/>
              </w:rPr>
              <w:t>Skin disease/Leprosy examination item</w:t>
            </w:r>
          </w:p>
        </w:tc>
        <w:tc>
          <w:tcPr>
            <w:tcW w:type="dxa" w:w="1728"/>
          </w:tcPr>
          <w:p>
            <w:r>
              <w:rPr>
                <w:rFonts w:ascii="Times New Roman" w:hAnsi="Times New Roman"/>
                <w:sz w:val="18"/>
              </w:rPr>
              <w:t>Current</w:t>
            </w:r>
          </w:p>
        </w:tc>
        <w:tc>
          <w:tcPr>
            <w:tcW w:type="dxa" w:w="1728"/>
          </w:tcPr>
          <w:p>
            <w:r>
              <w:rPr>
                <w:rFonts w:ascii="Times New Roman" w:hAnsi="Times New Roman"/>
                <w:sz w:val="18"/>
              </w:rPr>
              <w:t>Resident visas</w:t>
            </w:r>
          </w:p>
        </w:tc>
      </w:tr>
      <w:tr>
        <w:tc>
          <w:tcPr>
            <w:tcW w:type="dxa" w:w="1728"/>
          </w:tcPr>
          <w:p>
            <w:r>
              <w:rPr>
                <w:rFonts w:ascii="Times New Roman" w:hAnsi="Times New Roman"/>
                <w:sz w:val="18"/>
              </w:rPr>
              <w:t>Philippines</w:t>
            </w:r>
          </w:p>
        </w:tc>
        <w:tc>
          <w:tcPr>
            <w:tcW w:type="dxa" w:w="1728"/>
          </w:tcPr>
          <w:p>
            <w:r>
              <w:rPr>
                <w:rFonts w:ascii="Times New Roman" w:hAnsi="Times New Roman"/>
                <w:sz w:val="18"/>
              </w:rPr>
              <w:t>SIRV medical form FA-11 (Class A)</w:t>
            </w:r>
          </w:p>
        </w:tc>
        <w:tc>
          <w:tcPr>
            <w:tcW w:type="dxa" w:w="1728"/>
          </w:tcPr>
          <w:p>
            <w:r>
              <w:rPr>
                <w:rFonts w:ascii="Times New Roman" w:hAnsi="Times New Roman"/>
                <w:sz w:val="18"/>
              </w:rPr>
              <w:t>Leprosy (infectious) as dangerous/contagious disease</w:t>
            </w:r>
          </w:p>
        </w:tc>
        <w:tc>
          <w:tcPr>
            <w:tcW w:type="dxa" w:w="1728"/>
          </w:tcPr>
          <w:p>
            <w:r>
              <w:rPr>
                <w:rFonts w:ascii="Times New Roman" w:hAnsi="Times New Roman"/>
                <w:sz w:val="18"/>
              </w:rPr>
              <w:t>Current</w:t>
            </w:r>
          </w:p>
        </w:tc>
        <w:tc>
          <w:tcPr>
            <w:tcW w:type="dxa" w:w="1728"/>
          </w:tcPr>
          <w:p>
            <w:r>
              <w:rPr>
                <w:rFonts w:ascii="Times New Roman" w:hAnsi="Times New Roman"/>
                <w:sz w:val="18"/>
              </w:rPr>
              <w:t>Investor resident visas</w:t>
            </w:r>
          </w:p>
        </w:tc>
      </w:tr>
      <w:tr>
        <w:tc>
          <w:tcPr>
            <w:tcW w:type="dxa" w:w="1728"/>
          </w:tcPr>
          <w:p>
            <w:r>
              <w:rPr>
                <w:rFonts w:ascii="Times New Roman" w:hAnsi="Times New Roman"/>
                <w:sz w:val="18"/>
              </w:rPr>
              <w:t>United States</w:t>
            </w:r>
          </w:p>
        </w:tc>
        <w:tc>
          <w:tcPr>
            <w:tcW w:type="dxa" w:w="1728"/>
          </w:tcPr>
          <w:p>
            <w:r>
              <w:rPr>
                <w:rFonts w:ascii="Times New Roman" w:hAnsi="Times New Roman"/>
                <w:sz w:val="18"/>
              </w:rPr>
              <w:t>CDC Technical Instructions for Panel Physicians</w:t>
            </w:r>
          </w:p>
        </w:tc>
        <w:tc>
          <w:tcPr>
            <w:tcW w:type="dxa" w:w="1728"/>
          </w:tcPr>
          <w:p>
            <w:r>
              <w:rPr>
                <w:rFonts w:ascii="Times New Roman" w:hAnsi="Times New Roman"/>
                <w:sz w:val="18"/>
              </w:rPr>
              <w:t>Hansen's disease as communicable disease of public health significance</w:t>
            </w:r>
          </w:p>
        </w:tc>
        <w:tc>
          <w:tcPr>
            <w:tcW w:type="dxa" w:w="1728"/>
          </w:tcPr>
          <w:p>
            <w:r>
              <w:rPr>
                <w:rFonts w:ascii="Times New Roman" w:hAnsi="Times New Roman"/>
                <w:sz w:val="18"/>
              </w:rPr>
              <w:t>Current</w:t>
            </w:r>
          </w:p>
        </w:tc>
        <w:tc>
          <w:tcPr>
            <w:tcW w:type="dxa" w:w="1728"/>
          </w:tcPr>
          <w:p>
            <w:r>
              <w:rPr>
                <w:rFonts w:ascii="Times New Roman" w:hAnsi="Times New Roman"/>
                <w:sz w:val="18"/>
              </w:rPr>
              <w:t>Immigrant visas, adjustment of status</w:t>
            </w:r>
          </w:p>
        </w:tc>
      </w:tr>
      <w:tr>
        <w:tc>
          <w:tcPr>
            <w:tcW w:type="dxa" w:w="1728"/>
          </w:tcPr>
          <w:p>
            <w:r>
              <w:rPr>
                <w:rFonts w:ascii="Times New Roman" w:hAnsi="Times New Roman"/>
                <w:sz w:val="18"/>
              </w:rPr>
              <w:t>Russia</w:t>
            </w:r>
          </w:p>
        </w:tc>
        <w:tc>
          <w:tcPr>
            <w:tcW w:type="dxa" w:w="1728"/>
          </w:tcPr>
          <w:p>
            <w:r>
              <w:rPr>
                <w:rFonts w:ascii="Times New Roman" w:hAnsi="Times New Roman"/>
                <w:sz w:val="18"/>
              </w:rPr>
              <w:t>Federal Law No. 357-FZ</w:t>
            </w:r>
          </w:p>
        </w:tc>
        <w:tc>
          <w:tcPr>
            <w:tcW w:type="dxa" w:w="1728"/>
          </w:tcPr>
          <w:p>
            <w:r>
              <w:rPr>
                <w:rFonts w:ascii="Times New Roman" w:hAnsi="Times New Roman"/>
                <w:sz w:val="18"/>
              </w:rPr>
              <w:t>Mandatory quarterly leprosy screening for foreign workers</w:t>
            </w:r>
          </w:p>
        </w:tc>
        <w:tc>
          <w:tcPr>
            <w:tcW w:type="dxa" w:w="1728"/>
          </w:tcPr>
          <w:p>
            <w:r>
              <w:rPr>
                <w:rFonts w:ascii="Times New Roman" w:hAnsi="Times New Roman"/>
                <w:sz w:val="18"/>
              </w:rPr>
              <w:t>2021</w:t>
            </w:r>
          </w:p>
        </w:tc>
        <w:tc>
          <w:tcPr>
            <w:tcW w:type="dxa" w:w="1728"/>
          </w:tcPr>
          <w:p>
            <w:r>
              <w:rPr>
                <w:rFonts w:ascii="Times New Roman" w:hAnsi="Times New Roman"/>
                <w:sz w:val="18"/>
              </w:rPr>
              <w:t>All work/residence &gt;90 days</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b/>
          <w:sz w:val="24"/>
        </w:rPr>
        <w:t>Gulf Cooperation Council (GCC) member states</w:t>
      </w:r>
    </w:p>
    <w:p>
      <w:pPr>
        <w:spacing w:line="480" w:lineRule="auto" w:after="0"/>
      </w:pPr>
      <w:r>
        <w:rPr>
          <w:rFonts w:ascii="Times New Roman" w:hAnsi="Times New Roman"/>
          <w:sz w:val="24"/>
        </w:rPr>
        <w:t>The *</w:t>
      </w:r>
      <w:r>
        <w:rPr>
          <w:rFonts w:ascii="Times New Roman" w:hAnsi="Times New Roman"/>
          <w:i/>
          <w:sz w:val="24"/>
        </w:rPr>
        <w:t>six GCC states</w:t>
      </w:r>
      <w:r>
        <w:rPr>
          <w:rFonts w:ascii="Times New Roman" w:hAnsi="Times New Roman"/>
          <w:sz w:val="24"/>
        </w:rPr>
      </w:r>
      <w:r>
        <w:rPr>
          <w:rFonts w:ascii="Times New Roman" w:hAnsi="Times New Roman"/>
          <w:i/>
          <w:sz w:val="24"/>
        </w:rPr>
        <w:t xml:space="preserve"> -- Saudi Arabia, Qatar, Kuwait, United Arab Emirates, Bahrain, and Oman -- operate under the unified </w:t>
      </w:r>
      <w:r>
        <w:rPr>
          <w:rFonts w:ascii="Times New Roman" w:hAnsi="Times New Roman"/>
          <w:sz w:val="24"/>
        </w:rPr>
      </w:r>
      <w:r>
        <w:rPr>
          <w:rFonts w:ascii="Times New Roman" w:hAnsi="Times New Roman"/>
          <w:i/>
          <w:sz w:val="24"/>
        </w:rPr>
        <w:t>GCC Medical Examination Regulations for Expatriates</w:t>
      </w:r>
      <w:r>
        <w:rPr>
          <w:rFonts w:ascii="Times New Roman" w:hAnsi="Times New Roman"/>
          <w:sz w:val="24"/>
        </w:rPr>
        <w:t>* administered by the Gulf Health Council through the Wafid programme [11, 12]. These regulations, obtained and analysed in full (79 pp.), explicitly list leprosy as a medical unfitness condition for expatriate workers in two separate provisions:</w:t>
      </w:r>
    </w:p>
    <w:p>
      <w:pPr>
        <w:spacing w:line="480" w:lineRule="auto" w:after="0"/>
      </w:pPr>
      <w:r>
        <w:rPr>
          <w:rFonts w:ascii="Times New Roman" w:hAnsi="Times New Roman"/>
          <w:sz w:val="24"/>
        </w:rPr>
        <w:t>- *</w:t>
      </w:r>
      <w:r>
        <w:rPr>
          <w:rFonts w:ascii="Times New Roman" w:hAnsi="Times New Roman"/>
          <w:i/>
          <w:sz w:val="24"/>
        </w:rPr>
        <w:t>Article 38 (Skin examination)</w:t>
      </w:r>
      <w:r>
        <w:rPr>
          <w:rFonts w:ascii="Times New Roman" w:hAnsi="Times New Roman"/>
          <w:sz w:val="24"/>
        </w:rPr>
        <w:t>*: "Free of pathological signs of leprosy and other chronic skin diseases such as eczema and psoriasis or any other infectious skin diseases."</w:t>
      </w:r>
    </w:p>
    <w:p>
      <w:pPr>
        <w:spacing w:line="480" w:lineRule="auto" w:after="0"/>
      </w:pPr>
      <w:r>
        <w:rPr>
          <w:rFonts w:ascii="Times New Roman" w:hAnsi="Times New Roman"/>
          <w:sz w:val="24"/>
        </w:rPr>
        <w:t>- *</w:t>
      </w:r>
      <w:r>
        <w:rPr>
          <w:rFonts w:ascii="Times New Roman" w:hAnsi="Times New Roman"/>
          <w:i/>
          <w:sz w:val="24"/>
        </w:rPr>
        <w:t>Article 42 (Medical unfitness cases)</w:t>
      </w:r>
      <w:r>
        <w:rPr>
          <w:rFonts w:ascii="Times New Roman" w:hAnsi="Times New Roman"/>
          <w:sz w:val="24"/>
        </w:rPr>
        <w:t>*: Leprosy is listed as the fifth infectious disease (after HIV, Hepatitis B, Hepatitis C, and microfilaria/malaria) under "Infectious Diseases" that render an expatriate medically unfit for work.</w:t>
      </w:r>
    </w:p>
    <w:p>
      <w:pPr>
        <w:spacing w:line="480" w:lineRule="auto" w:after="0"/>
      </w:pPr>
      <w:r>
        <w:rPr>
          <w:rFonts w:ascii="Times New Roman" w:hAnsi="Times New Roman"/>
          <w:sz w:val="24"/>
        </w:rPr>
        <w:t>The same regulations prescribe graduated penalties for accredited medical centres that fail to detect leprosy in expatriate applicants, ranging from fines of USD 1,500 to suspension or revocation of accreditation [11].</w:t>
      </w:r>
    </w:p>
    <w:p>
      <w:pPr>
        <w:spacing w:line="480" w:lineRule="auto" w:after="0"/>
      </w:pPr>
      <w:r>
        <w:rPr>
          <w:rFonts w:ascii="Times New Roman" w:hAnsi="Times New Roman"/>
          <w:sz w:val="24"/>
        </w:rPr>
        <w:t>*</w:t>
      </w:r>
      <w:r>
        <w:rPr>
          <w:rFonts w:ascii="Times New Roman" w:hAnsi="Times New Roman"/>
          <w:i/>
          <w:sz w:val="24"/>
        </w:rPr>
        <w:t>Saudi Arabia</w:t>
      </w:r>
      <w:r>
        <w:rPr>
          <w:rFonts w:ascii="Times New Roman" w:hAnsi="Times New Roman"/>
          <w:sz w:val="24"/>
        </w:rPr>
      </w:r>
      <w:r>
        <w:rPr>
          <w:rFonts w:ascii="Times New Roman" w:hAnsi="Times New Roman"/>
          <w:i/>
          <w:sz w:val="24"/>
        </w:rPr>
        <w:t xml:space="preserve"> implements the GCC framework through the Ministry of Health's Expatriate Medical Examination Programme [13]. </w:t>
      </w:r>
      <w:r>
        <w:rPr>
          <w:rFonts w:ascii="Times New Roman" w:hAnsi="Times New Roman"/>
          <w:sz w:val="24"/>
        </w:rPr>
      </w:r>
      <w:r>
        <w:rPr>
          <w:rFonts w:ascii="Times New Roman" w:hAnsi="Times New Roman"/>
          <w:i/>
          <w:sz w:val="24"/>
        </w:rPr>
        <w:t>Qatar</w:t>
      </w:r>
      <w:r>
        <w:rPr>
          <w:rFonts w:ascii="Times New Roman" w:hAnsi="Times New Roman"/>
          <w:sz w:val="24"/>
        </w:rPr>
      </w:r>
      <w:r>
        <w:rPr>
          <w:rFonts w:ascii="Times New Roman" w:hAnsi="Times New Roman"/>
          <w:i/>
          <w:sz w:val="24"/>
        </w:rPr>
        <w:t xml:space="preserve"> applies the framework through the Supreme Council of Health's pre-employment medical examination requirements [14]. </w:t>
      </w:r>
      <w:r>
        <w:rPr>
          <w:rFonts w:ascii="Times New Roman" w:hAnsi="Times New Roman"/>
          <w:sz w:val="24"/>
        </w:rPr>
      </w:r>
      <w:r>
        <w:rPr>
          <w:rFonts w:ascii="Times New Roman" w:hAnsi="Times New Roman"/>
          <w:i/>
          <w:sz w:val="24"/>
        </w:rPr>
        <w:t>Kuwait</w:t>
      </w:r>
      <w:r>
        <w:rPr>
          <w:rFonts w:ascii="Times New Roman" w:hAnsi="Times New Roman"/>
          <w:sz w:val="24"/>
        </w:rPr>
      </w:r>
      <w:r>
        <w:rPr>
          <w:rFonts w:ascii="Times New Roman" w:hAnsi="Times New Roman"/>
          <w:i/>
          <w:sz w:val="24"/>
        </w:rPr>
        <w:t xml:space="preserve"> enforces the framework through the Ministry of Health's expatriate screening regulations, supplemented by domestic disease control legislation [15]. </w:t>
      </w:r>
      <w:r>
        <w:rPr>
          <w:rFonts w:ascii="Times New Roman" w:hAnsi="Times New Roman"/>
          <w:sz w:val="24"/>
        </w:rPr>
      </w:r>
      <w:r>
        <w:rPr>
          <w:rFonts w:ascii="Times New Roman" w:hAnsi="Times New Roman"/>
          <w:i/>
          <w:sz w:val="24"/>
        </w:rPr>
        <w:t>United Arab Emirates</w:t>
      </w:r>
      <w:r>
        <w:rPr>
          <w:rFonts w:ascii="Times New Roman" w:hAnsi="Times New Roman"/>
          <w:sz w:val="24"/>
        </w:rPr>
      </w:r>
      <w:r>
        <w:rPr>
          <w:rFonts w:ascii="Times New Roman" w:hAnsi="Times New Roman"/>
          <w:i/>
          <w:sz w:val="24"/>
        </w:rPr>
        <w:t xml:space="preserve"> applies the GCC framework alongside its federal requirement that foreign nationals be "free of all forms of communicable diseases" for residence permits [16]. </w:t>
      </w:r>
      <w:r>
        <w:rPr>
          <w:rFonts w:ascii="Times New Roman" w:hAnsi="Times New Roman"/>
          <w:sz w:val="24"/>
        </w:rPr>
      </w:r>
      <w:r>
        <w:rPr>
          <w:rFonts w:ascii="Times New Roman" w:hAnsi="Times New Roman"/>
          <w:i/>
          <w:sz w:val="24"/>
        </w:rPr>
        <w:t>Bahrain</w:t>
      </w:r>
      <w:r>
        <w:rPr>
          <w:rFonts w:ascii="Times New Roman" w:hAnsi="Times New Roman"/>
          <w:sz w:val="24"/>
        </w:rPr>
      </w:r>
      <w:r>
        <w:rPr>
          <w:rFonts w:ascii="Times New Roman" w:hAnsi="Times New Roman"/>
          <w:i/>
          <w:sz w:val="24"/>
        </w:rPr>
        <w:t xml:space="preserve"> and </w:t>
      </w:r>
      <w:r>
        <w:rPr>
          <w:rFonts w:ascii="Times New Roman" w:hAnsi="Times New Roman"/>
          <w:sz w:val="24"/>
        </w:rPr>
      </w:r>
      <w:r>
        <w:rPr>
          <w:rFonts w:ascii="Times New Roman" w:hAnsi="Times New Roman"/>
          <w:i/>
          <w:sz w:val="24"/>
        </w:rPr>
        <w:t>Oman</w:t>
      </w:r>
      <w:r>
        <w:rPr>
          <w:rFonts w:ascii="Times New Roman" w:hAnsi="Times New Roman"/>
          <w:sz w:val="24"/>
        </w:rPr>
        <w:t>* apply the framework as GCC member states through the Wafid medical screening programme.</w:t>
      </w:r>
    </w:p>
    <w:p>
      <w:pPr>
        <w:spacing w:line="480" w:lineRule="auto" w:after="0"/>
      </w:pPr>
      <w:r>
        <w:rPr>
          <w:rFonts w:ascii="Times New Roman" w:hAnsi="Times New Roman"/>
          <w:b/>
          <w:sz w:val="24"/>
        </w:rPr>
        <w:t>South Africa</w:t>
      </w:r>
    </w:p>
    <w:p>
      <w:pPr>
        <w:spacing w:line="480" w:lineRule="auto" w:after="0"/>
      </w:pPr>
      <w:r>
        <w:rPr>
          <w:rFonts w:ascii="Times New Roman" w:hAnsi="Times New Roman"/>
          <w:sz w:val="24"/>
        </w:rPr>
        <w:t>Regulation 26(1) of the Immigration Regulations, 2014 (GN R.416, Government Gazette No. 37679 of 22 May 2014) specifies that the diseases rendering a foreign national a prohibited person under section 29(1)(a) of the Immigration Act are "those referred to in the regulations promulgated under the International Health Regulations Act, 1974 (Act No. 28 of 1974), and any other disease or virus rendering a person inadmissible as may be determined by the Department of Health from time to time in terms of the applicable legislation" [17]. Foreign nationals applying for work visas exceeding six months must submit medical certificate forms (BI-811, now DHA-811), which have historically included leprosy among reportable controllable diseases.</w:t>
      </w:r>
    </w:p>
    <w:p>
      <w:pPr>
        <w:spacing w:line="480" w:lineRule="auto" w:after="0"/>
      </w:pPr>
      <w:r>
        <w:rPr>
          <w:rFonts w:ascii="Times New Roman" w:hAnsi="Times New Roman"/>
          <w:b/>
          <w:sz w:val="24"/>
        </w:rPr>
        <w:t>Thailand</w:t>
      </w:r>
    </w:p>
    <w:p>
      <w:pPr>
        <w:spacing w:line="480" w:lineRule="auto" w:after="0"/>
      </w:pPr>
      <w:r>
        <w:rPr>
          <w:rFonts w:ascii="Times New Roman" w:hAnsi="Times New Roman"/>
          <w:sz w:val="24"/>
        </w:rPr>
        <w:t>Ministerial Regulation No. 14 (B.E. 2535) under the Alien Working Act B.E. 2551 (2008) lists leprosy as the first of six prohibited diseases for work permit applicants [18]. The six diseases are: (1) leprosy, (2) tuberculosis, (3) drug addiction, (4) chronic alcoholism, (5) elephantiasis (lymphatic filariasis), and (6) syphilis stage III. The medical certificate must explicitly confirm the applicant is free from these diseases and is valid for 90 days [19].</w:t>
      </w:r>
    </w:p>
    <w:p>
      <w:pPr>
        <w:spacing w:line="480" w:lineRule="auto" w:after="0"/>
      </w:pPr>
      <w:r>
        <w:rPr>
          <w:rFonts w:ascii="Times New Roman" w:hAnsi="Times New Roman"/>
          <w:b/>
          <w:sz w:val="24"/>
        </w:rPr>
        <w:t>Taiwan</w:t>
      </w:r>
    </w:p>
    <w:p>
      <w:pPr>
        <w:spacing w:line="480" w:lineRule="auto" w:after="0"/>
      </w:pPr>
      <w:r>
        <w:rPr>
          <w:rFonts w:ascii="Times New Roman" w:hAnsi="Times New Roman"/>
          <w:sz w:val="24"/>
        </w:rPr>
        <w:t>The Taiwan Centers for Disease Control (CDC) Foreigners' Health Checklist for Residence includes a dedicated "skin disease/Leprosy examination" item for all foreign nationals applying for resident visas [20]. The examination covers chest X-ray (TB), stool examination (parasites), serological tests (syphilis), and physical examination including skin/leprosy assessment.</w:t>
      </w:r>
    </w:p>
    <w:p>
      <w:pPr>
        <w:spacing w:line="480" w:lineRule="auto" w:after="0"/>
      </w:pPr>
      <w:r>
        <w:rPr>
          <w:rFonts w:ascii="Times New Roman" w:hAnsi="Times New Roman"/>
          <w:b/>
          <w:sz w:val="24"/>
        </w:rPr>
        <w:t>Philippines</w:t>
      </w:r>
    </w:p>
    <w:p>
      <w:pPr>
        <w:spacing w:line="480" w:lineRule="auto" w:after="0"/>
      </w:pPr>
      <w:r>
        <w:rPr>
          <w:rFonts w:ascii="Times New Roman" w:hAnsi="Times New Roman"/>
          <w:sz w:val="24"/>
        </w:rPr>
        <w:t>The Special Investor Resident Visa (SIRV) medical certificate form (FA Form No. 11) classifies leprosy (infectious) as a *</w:t>
      </w:r>
      <w:r>
        <w:rPr>
          <w:rFonts w:ascii="Times New Roman" w:hAnsi="Times New Roman"/>
          <w:i/>
          <w:sz w:val="24"/>
        </w:rPr>
        <w:t>Class A dangerous/contagious disease</w:t>
      </w:r>
      <w:r>
        <w:rPr>
          <w:rFonts w:ascii="Times New Roman" w:hAnsi="Times New Roman"/>
          <w:sz w:val="24"/>
        </w:rPr>
        <w:t>* alongside chancroid, gonorrhea, granuloma inguinale, lymphogranuloma venereum, infectious-stage syphilis, active tuberculosis, and AIDS [21].</w:t>
      </w:r>
    </w:p>
    <w:p>
      <w:pPr>
        <w:spacing w:line="480" w:lineRule="auto" w:after="0"/>
      </w:pPr>
      <w:r>
        <w:rPr>
          <w:rFonts w:ascii="Times New Roman" w:hAnsi="Times New Roman"/>
          <w:b/>
          <w:sz w:val="24"/>
        </w:rPr>
        <w:t>United States</w:t>
      </w:r>
    </w:p>
    <w:p>
      <w:pPr>
        <w:spacing w:line="480" w:lineRule="auto" w:after="0"/>
      </w:pPr>
      <w:r>
        <w:rPr>
          <w:rFonts w:ascii="Times New Roman" w:hAnsi="Times New Roman"/>
          <w:sz w:val="24"/>
        </w:rPr>
        <w:t>The CDC Technical Instructions for Panel Physicians and Civil Surgeons list *</w:t>
      </w:r>
      <w:r>
        <w:rPr>
          <w:rFonts w:ascii="Times New Roman" w:hAnsi="Times New Roman"/>
          <w:i/>
          <w:sz w:val="24"/>
        </w:rPr>
        <w:t>Hansen's disease (leprosy)</w:t>
      </w:r>
      <w:r>
        <w:rPr>
          <w:rFonts w:ascii="Times New Roman" w:hAnsi="Times New Roman"/>
          <w:sz w:val="24"/>
        </w:rPr>
        <w:t>* as a communicable disease of public health significance [22, 23]. Screening includes medical history of past/present diagnoses, history of treatment-resistant skin lesions, family history of Hansen's disease, and physical examination for signs and lesions consistent with the disease.</w:t>
      </w:r>
    </w:p>
    <w:p>
      <w:pPr>
        <w:spacing w:line="480" w:lineRule="auto" w:after="0"/>
      </w:pPr>
      <w:r>
        <w:rPr>
          <w:rFonts w:ascii="Times New Roman" w:hAnsi="Times New Roman"/>
          <w:b/>
          <w:sz w:val="24"/>
        </w:rPr>
        <w:t>Russia</w:t>
      </w:r>
    </w:p>
    <w:p>
      <w:pPr>
        <w:spacing w:line="480" w:lineRule="auto" w:after="0"/>
      </w:pPr>
      <w:r>
        <w:rPr>
          <w:rFonts w:ascii="Times New Roman" w:hAnsi="Times New Roman"/>
          <w:sz w:val="24"/>
        </w:rPr>
        <w:t>Federal Law No. 357-FZ (effective December 2021) requires all foreign nationals staying in Russia for more than 90 days to undergo mandatory medical examinations every three months, including testing for leprosy (Hansen's disease) alongside HIV, syphilis, tuberculosis, and drug use [24, 25, 26].</w:t>
      </w:r>
    </w:p>
    <w:p>
      <w:pPr>
        <w:spacing w:line="480" w:lineRule="auto" w:after="0"/>
      </w:pPr>
      <w:r>
        <w:rPr>
          <w:rFonts w:ascii="Times New Roman" w:hAnsi="Times New Roman"/>
          <w:b/>
          <w:sz w:val="24"/>
        </w:rPr>
        <w:t>Tier B: Historical restriction removed</w:t>
      </w:r>
    </w:p>
    <w:p>
      <w:pPr>
        <w:spacing w:line="480" w:lineRule="auto" w:after="0"/>
      </w:pPr>
      <w:r>
        <w:rPr>
          <w:rFonts w:ascii="Times New Roman" w:hAnsi="Times New Roman"/>
          <w:sz w:val="24"/>
        </w:rPr>
        <w:t>We identified 4 countries that previously maintained leprosy-specific immigration restrictions but have since repealed or removed them (Table 2).</w:t>
      </w:r>
    </w:p>
    <w:p>
      <w:pPr>
        <w:spacing w:line="480" w:lineRule="auto" w:after="0"/>
      </w:pPr>
      <w:r>
        <w:rPr>
          <w:rFonts w:ascii="Times New Roman" w:hAnsi="Times New Roman"/>
          <w:sz w:val="24"/>
        </w:rPr>
        <w:t>| Country | Former instrument | Year removed | Current status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w:t>
            </w:r>
          </w:p>
        </w:tc>
        <w:tc>
          <w:tcPr>
            <w:tcW w:type="dxa" w:w="2160"/>
          </w:tcPr>
          <w:p>
            <w:r>
              <w:rPr>
                <w:rFonts w:ascii="Times New Roman" w:hAnsi="Times New Roman"/>
                <w:b/>
                <w:sz w:val="18"/>
              </w:rPr>
              <w:t>------------------</w:t>
            </w:r>
          </w:p>
        </w:tc>
        <w:tc>
          <w:tcPr>
            <w:tcW w:type="dxa" w:w="2160"/>
          </w:tcPr>
          <w:p>
            <w:r>
              <w:rPr>
                <w:rFonts w:ascii="Times New Roman" w:hAnsi="Times New Roman"/>
                <w:b/>
                <w:sz w:val="18"/>
              </w:rPr>
              <w:t>-------------</w:t>
            </w:r>
          </w:p>
        </w:tc>
        <w:tc>
          <w:tcPr>
            <w:tcW w:type="dxa" w:w="2160"/>
          </w:tcPr>
          <w:p>
            <w:r>
              <w:rPr>
                <w:rFonts w:ascii="Times New Roman" w:hAnsi="Times New Roman"/>
                <w:b/>
                <w:sz w:val="18"/>
              </w:rPr>
              <w:t>---------------</w:t>
            </w:r>
          </w:p>
        </w:tc>
      </w:tr>
      <w:tr>
        <w:tc>
          <w:tcPr>
            <w:tcW w:type="dxa" w:w="2160"/>
          </w:tcPr>
          <w:p>
            <w:r>
              <w:rPr>
                <w:rFonts w:ascii="Times New Roman" w:hAnsi="Times New Roman"/>
                <w:sz w:val="18"/>
              </w:rPr>
              <w:t>United States</w:t>
            </w:r>
          </w:p>
        </w:tc>
        <w:tc>
          <w:tcPr>
            <w:tcW w:type="dxa" w:w="2160"/>
          </w:tcPr>
          <w:p>
            <w:r>
              <w:rPr>
                <w:rFonts w:ascii="Times New Roman" w:hAnsi="Times New Roman"/>
                <w:sz w:val="18"/>
              </w:rPr>
              <w:t>INA dangerous contagious diseases provision</w:t>
            </w:r>
          </w:p>
        </w:tc>
        <w:tc>
          <w:tcPr>
            <w:tcW w:type="dxa" w:w="2160"/>
          </w:tcPr>
          <w:p>
            <w:r>
              <w:rPr>
                <w:rFonts w:ascii="Times New Roman" w:hAnsi="Times New Roman"/>
                <w:sz w:val="18"/>
              </w:rPr>
              <w:t>1960s</w:t>
            </w:r>
          </w:p>
        </w:tc>
        <w:tc>
          <w:tcPr>
            <w:tcW w:type="dxa" w:w="2160"/>
          </w:tcPr>
          <w:p>
            <w:r>
              <w:rPr>
                <w:rFonts w:ascii="Times New Roman" w:hAnsi="Times New Roman"/>
                <w:sz w:val="18"/>
              </w:rPr>
              <w:t>CDC screening retains Hansen's disease for panel physicians</w:t>
            </w:r>
          </w:p>
        </w:tc>
      </w:tr>
      <w:tr>
        <w:tc>
          <w:tcPr>
            <w:tcW w:type="dxa" w:w="2160"/>
          </w:tcPr>
          <w:p>
            <w:r>
              <w:rPr>
                <w:rFonts w:ascii="Times New Roman" w:hAnsi="Times New Roman"/>
                <w:sz w:val="18"/>
              </w:rPr>
              <w:t>India</w:t>
            </w:r>
          </w:p>
        </w:tc>
        <w:tc>
          <w:tcPr>
            <w:tcW w:type="dxa" w:w="2160"/>
          </w:tcPr>
          <w:p>
            <w:r>
              <w:rPr>
                <w:rFonts w:ascii="Times New Roman" w:hAnsi="Times New Roman"/>
                <w:sz w:val="18"/>
              </w:rPr>
              <w:t>Lepers Act, 1898</w:t>
            </w:r>
          </w:p>
        </w:tc>
        <w:tc>
          <w:tcPr>
            <w:tcW w:type="dxa" w:w="2160"/>
          </w:tcPr>
          <w:p>
            <w:r>
              <w:rPr>
                <w:rFonts w:ascii="Times New Roman" w:hAnsi="Times New Roman"/>
                <w:sz w:val="18"/>
              </w:rPr>
              <w:t>2019 (repealed)</w:t>
            </w:r>
          </w:p>
        </w:tc>
        <w:tc>
          <w:tcPr>
            <w:tcW w:type="dxa" w:w="2160"/>
          </w:tcPr>
          <w:p>
            <w:r>
              <w:rPr>
                <w:rFonts w:ascii="Times New Roman" w:hAnsi="Times New Roman"/>
                <w:sz w:val="18"/>
              </w:rPr>
              <w:t>No leprosy-specific visa restriction</w:t>
            </w:r>
          </w:p>
        </w:tc>
      </w:tr>
      <w:tr>
        <w:tc>
          <w:tcPr>
            <w:tcW w:type="dxa" w:w="2160"/>
          </w:tcPr>
          <w:p>
            <w:r>
              <w:rPr>
                <w:rFonts w:ascii="Times New Roman" w:hAnsi="Times New Roman"/>
                <w:sz w:val="18"/>
              </w:rPr>
              <w:t>United Kingdom</w:t>
            </w:r>
          </w:p>
        </w:tc>
        <w:tc>
          <w:tcPr>
            <w:tcW w:type="dxa" w:w="2160"/>
          </w:tcPr>
          <w:p>
            <w:r>
              <w:rPr>
                <w:rFonts w:ascii="Times New Roman" w:hAnsi="Times New Roman"/>
                <w:sz w:val="18"/>
              </w:rPr>
              <w:t>Immigration Rules public health grounds</w:t>
            </w:r>
          </w:p>
        </w:tc>
        <w:tc>
          <w:tcPr>
            <w:tcW w:type="dxa" w:w="2160"/>
          </w:tcPr>
          <w:p>
            <w:r>
              <w:rPr>
                <w:rFonts w:ascii="Times New Roman" w:hAnsi="Times New Roman"/>
                <w:sz w:val="18"/>
              </w:rPr>
              <w:t>Circa 2000s</w:t>
            </w:r>
          </w:p>
        </w:tc>
        <w:tc>
          <w:tcPr>
            <w:tcW w:type="dxa" w:w="2160"/>
          </w:tcPr>
          <w:p>
            <w:r>
              <w:rPr>
                <w:rFonts w:ascii="Times New Roman" w:hAnsi="Times New Roman"/>
                <w:sz w:val="18"/>
              </w:rPr>
              <w:t>TB-only screening</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sz w:val="24"/>
        </w:rPr>
        <w:t>*</w:t>
      </w:r>
      <w:r>
        <w:rPr>
          <w:rFonts w:ascii="Times New Roman" w:hAnsi="Times New Roman"/>
          <w:i/>
          <w:sz w:val="24"/>
        </w:rPr>
        <w:t>Japan</w:t>
      </w:r>
      <w:r>
        <w:rPr>
          <w:rFonts w:ascii="Times New Roman" w:hAnsi="Times New Roman"/>
          <w:sz w:val="24"/>
        </w:rPr>
        <w:t>*: The Leprosy Prevention Law (1953, Law No. 214) required compulsory isolation of leprosy patients. While primarily a domestic health law rather than an immigration restriction, its effect was to enforce segregation of both citizens and foreign nationals with leprosy. The law was repealed on 1 April 1996 (Law No. 28 of 1996). In 2001, the Kumamoto District Court ruled that the law's isolation provisions were unconstitutional, and the state was ordered to pay compensation to former patients [5,6]. Japan's current Immigration Control and Refugee Recognition Act does not list leprosy as a ground for entry refusal [27].</w:t>
      </w:r>
    </w:p>
    <w:p>
      <w:pPr>
        <w:spacing w:line="480" w:lineRule="auto" w:after="0"/>
      </w:pPr>
      <w:r>
        <w:rPr>
          <w:rFonts w:ascii="Times New Roman" w:hAnsi="Times New Roman"/>
          <w:sz w:val="24"/>
        </w:rPr>
        <w:t>*</w:t>
      </w:r>
      <w:r>
        <w:rPr>
          <w:rFonts w:ascii="Times New Roman" w:hAnsi="Times New Roman"/>
          <w:i/>
          <w:sz w:val="24"/>
        </w:rPr>
        <w:t>United States</w:t>
      </w:r>
      <w:r>
        <w:rPr>
          <w:rFonts w:ascii="Times New Roman" w:hAnsi="Times New Roman"/>
          <w:sz w:val="24"/>
        </w:rPr>
        <w:t>*: Under the Immigration and Nationality Act, leprosy was historically listed among dangerous contagious diseases for which immigrants could be excluded [7]. The provision was removed during the 1960s. The CDC Technical Instructions for Panel Physicians currently retain Hansen's disease as a communicable disease of public health significance for immigrant visa medical examinations [22, 23].</w:t>
      </w:r>
    </w:p>
    <w:p>
      <w:pPr>
        <w:spacing w:line="480" w:lineRule="auto" w:after="0"/>
      </w:pPr>
      <w:r>
        <w:rPr>
          <w:rFonts w:ascii="Times New Roman" w:hAnsi="Times New Roman"/>
          <w:sz w:val="24"/>
        </w:rPr>
        <w:t>*</w:t>
      </w:r>
      <w:r>
        <w:rPr>
          <w:rFonts w:ascii="Times New Roman" w:hAnsi="Times New Roman"/>
          <w:i/>
          <w:sz w:val="24"/>
        </w:rPr>
        <w:t>India</w:t>
      </w:r>
      <w:r>
        <w:rPr>
          <w:rFonts w:ascii="Times New Roman" w:hAnsi="Times New Roman"/>
          <w:sz w:val="24"/>
        </w:rPr>
        <w:t>*: The Leprosy Act of 1898 (originally the Lepers Act) provided for the segregation of persons with leprosy. This act was repealed in 2019, and India's current visa medical requirements do not specifically list leprosy as a disqualifying condition [28].</w:t>
      </w:r>
    </w:p>
    <w:p>
      <w:pPr>
        <w:spacing w:line="480" w:lineRule="auto" w:after="0"/>
      </w:pPr>
      <w:r>
        <w:rPr>
          <w:rFonts w:ascii="Times New Roman" w:hAnsi="Times New Roman"/>
          <w:sz w:val="24"/>
        </w:rPr>
        <w:t>*</w:t>
      </w:r>
      <w:r>
        <w:rPr>
          <w:rFonts w:ascii="Times New Roman" w:hAnsi="Times New Roman"/>
          <w:i/>
          <w:sz w:val="24"/>
        </w:rPr>
        <w:t>United Kingdom</w:t>
      </w:r>
      <w:r>
        <w:rPr>
          <w:rFonts w:ascii="Times New Roman" w:hAnsi="Times New Roman"/>
          <w:sz w:val="24"/>
        </w:rPr>
        <w:t>*: The UK's Immigration Rules historically listed leprosy as a condition that might make a person inadmissible on public health grounds. Following the consolidation of health screening requirements, the UK now requires tuberculosis screening only (for entrants from high-incidence countries) and does not maintain leprosy-specific restrictions [29].</w:t>
      </w:r>
    </w:p>
    <w:p>
      <w:pPr>
        <w:spacing w:line="480" w:lineRule="auto" w:after="0"/>
      </w:pPr>
      <w:r>
        <w:rPr>
          <w:rFonts w:ascii="Times New Roman" w:hAnsi="Times New Roman"/>
          <w:b/>
          <w:sz w:val="24"/>
        </w:rPr>
        <w:t>Tier C: General health provision, no disease-specific listing</w:t>
      </w:r>
    </w:p>
    <w:p>
      <w:pPr>
        <w:spacing w:line="480" w:lineRule="auto" w:after="0"/>
      </w:pPr>
      <w:r>
        <w:rPr>
          <w:rFonts w:ascii="Times New Roman" w:hAnsi="Times New Roman"/>
          <w:sz w:val="24"/>
        </w:rPr>
        <w:t>The majority of high-income countries with available data fall into Tier C. These countries require medical examinations for certain categories of work visas or long-term residence but do not specifically list leprosy as a disqualifying condition (Table 3).</w:t>
      </w:r>
    </w:p>
    <w:p>
      <w:pPr>
        <w:spacing w:line="480" w:lineRule="auto" w:after="0"/>
      </w:pPr>
      <w:r>
        <w:rPr>
          <w:rFonts w:ascii="Times New Roman" w:hAnsi="Times New Roman"/>
          <w:sz w:val="24"/>
        </w:rPr>
        <w:t>| Country | Medical exam for work visa? | Basis for health refusal | Leprosy listed?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w:t>
            </w:r>
          </w:p>
        </w:tc>
        <w:tc>
          <w:tcPr>
            <w:tcW w:type="dxa" w:w="2160"/>
          </w:tcPr>
          <w:p>
            <w:r>
              <w:rPr>
                <w:rFonts w:ascii="Times New Roman" w:hAnsi="Times New Roman"/>
                <w:b/>
                <w:sz w:val="18"/>
              </w:rPr>
              <w:t>---------------------------</w:t>
            </w:r>
          </w:p>
        </w:tc>
        <w:tc>
          <w:tcPr>
            <w:tcW w:type="dxa" w:w="2160"/>
          </w:tcPr>
          <w:p>
            <w:r>
              <w:rPr>
                <w:rFonts w:ascii="Times New Roman" w:hAnsi="Times New Roman"/>
                <w:b/>
                <w:sz w:val="18"/>
              </w:rPr>
              <w:t>-------------------------</w:t>
            </w:r>
          </w:p>
        </w:tc>
        <w:tc>
          <w:tcPr>
            <w:tcW w:type="dxa" w:w="2160"/>
          </w:tcPr>
          <w:p>
            <w:r>
              <w:rPr>
                <w:rFonts w:ascii="Times New Roman" w:hAnsi="Times New Roman"/>
                <w:b/>
                <w:sz w:val="18"/>
              </w:rPr>
              <w:t>----------------</w:t>
            </w:r>
          </w:p>
        </w:tc>
      </w:tr>
      <w:tr>
        <w:tc>
          <w:tcPr>
            <w:tcW w:type="dxa" w:w="2160"/>
          </w:tcPr>
          <w:p>
            <w:r>
              <w:rPr>
                <w:rFonts w:ascii="Times New Roman" w:hAnsi="Times New Roman"/>
                <w:sz w:val="18"/>
              </w:rPr>
              <w:t>Australia</w:t>
            </w:r>
          </w:p>
        </w:tc>
        <w:tc>
          <w:tcPr>
            <w:tcW w:type="dxa" w:w="2160"/>
          </w:tcPr>
          <w:p>
            <w:r>
              <w:rPr>
                <w:rFonts w:ascii="Times New Roman" w:hAnsi="Times New Roman"/>
                <w:sz w:val="18"/>
              </w:rPr>
              <w:t>Yes (all applicants)</w:t>
            </w:r>
          </w:p>
        </w:tc>
        <w:tc>
          <w:tcPr>
            <w:tcW w:type="dxa" w:w="2160"/>
          </w:tcPr>
          <w:p>
            <w:r>
              <w:rPr>
                <w:rFonts w:ascii="Times New Roman" w:hAnsi="Times New Roman"/>
                <w:sz w:val="18"/>
              </w:rPr>
              <w:t>Public health risk (PIC 4005); healthcare cost</w:t>
            </w:r>
          </w:p>
        </w:tc>
        <w:tc>
          <w:tcPr>
            <w:tcW w:type="dxa" w:w="2160"/>
          </w:tcPr>
          <w:p>
            <w:r>
              <w:rPr>
                <w:rFonts w:ascii="Times New Roman" w:hAnsi="Times New Roman"/>
                <w:sz w:val="18"/>
              </w:rPr>
              <w:t>No</w:t>
            </w:r>
          </w:p>
        </w:tc>
      </w:tr>
      <w:tr>
        <w:tc>
          <w:tcPr>
            <w:tcW w:type="dxa" w:w="2160"/>
          </w:tcPr>
          <w:p>
            <w:r>
              <w:rPr>
                <w:rFonts w:ascii="Times New Roman" w:hAnsi="Times New Roman"/>
                <w:sz w:val="18"/>
              </w:rPr>
              <w:t>New Zealand</w:t>
            </w:r>
          </w:p>
        </w:tc>
        <w:tc>
          <w:tcPr>
            <w:tcW w:type="dxa" w:w="2160"/>
          </w:tcPr>
          <w:p>
            <w:r>
              <w:rPr>
                <w:rFonts w:ascii="Times New Roman" w:hAnsi="Times New Roman"/>
                <w:sz w:val="18"/>
              </w:rPr>
              <w:t>Yes (&gt;12 months)</w:t>
            </w:r>
          </w:p>
        </w:tc>
        <w:tc>
          <w:tcPr>
            <w:tcW w:type="dxa" w:w="2160"/>
          </w:tcPr>
          <w:p>
            <w:r>
              <w:rPr>
                <w:rFonts w:ascii="Times New Roman" w:hAnsi="Times New Roman"/>
                <w:sz w:val="18"/>
              </w:rPr>
              <w:t>Acceptable standard of health</w:t>
            </w:r>
          </w:p>
        </w:tc>
        <w:tc>
          <w:tcPr>
            <w:tcW w:type="dxa" w:w="2160"/>
          </w:tcPr>
          <w:p>
            <w:r>
              <w:rPr>
                <w:rFonts w:ascii="Times New Roman" w:hAnsi="Times New Roman"/>
                <w:sz w:val="18"/>
              </w:rPr>
              <w:t>No</w:t>
            </w:r>
          </w:p>
        </w:tc>
      </w:tr>
      <w:tr>
        <w:tc>
          <w:tcPr>
            <w:tcW w:type="dxa" w:w="2160"/>
          </w:tcPr>
          <w:p>
            <w:r>
              <w:rPr>
                <w:rFonts w:ascii="Times New Roman" w:hAnsi="Times New Roman"/>
                <w:sz w:val="18"/>
              </w:rPr>
              <w:t>Germany</w:t>
            </w:r>
          </w:p>
        </w:tc>
        <w:tc>
          <w:tcPr>
            <w:tcW w:type="dxa" w:w="2160"/>
          </w:tcPr>
          <w:p>
            <w:r>
              <w:rPr>
                <w:rFonts w:ascii="Times New Roman" w:hAnsi="Times New Roman"/>
                <w:sz w:val="18"/>
              </w:rPr>
              <w:t>No (most cases)</w:t>
            </w:r>
          </w:p>
        </w:tc>
        <w:tc>
          <w:tcPr>
            <w:tcW w:type="dxa" w:w="2160"/>
          </w:tcPr>
          <w:p>
            <w:r>
              <w:rPr>
                <w:rFonts w:ascii="Times New Roman" w:hAnsi="Times New Roman"/>
                <w:sz w:val="18"/>
              </w:rPr>
              <w:t>Residence Act general provisions</w:t>
            </w:r>
          </w:p>
        </w:tc>
        <w:tc>
          <w:tcPr>
            <w:tcW w:type="dxa" w:w="2160"/>
          </w:tcPr>
          <w:p>
            <w:r>
              <w:rPr>
                <w:rFonts w:ascii="Times New Roman" w:hAnsi="Times New Roman"/>
                <w:sz w:val="18"/>
              </w:rPr>
              <w:t>No</w:t>
            </w:r>
          </w:p>
        </w:tc>
      </w:tr>
      <w:tr>
        <w:tc>
          <w:tcPr>
            <w:tcW w:type="dxa" w:w="2160"/>
          </w:tcPr>
          <w:p>
            <w:r>
              <w:rPr>
                <w:rFonts w:ascii="Times New Roman" w:hAnsi="Times New Roman"/>
                <w:sz w:val="18"/>
              </w:rPr>
              <w:t>France</w:t>
            </w:r>
          </w:p>
        </w:tc>
        <w:tc>
          <w:tcPr>
            <w:tcW w:type="dxa" w:w="2160"/>
          </w:tcPr>
          <w:p>
            <w:r>
              <w:rPr>
                <w:rFonts w:ascii="Times New Roman" w:hAnsi="Times New Roman"/>
                <w:sz w:val="18"/>
              </w:rPr>
              <w:t>Yes (long-stay, OFII)</w:t>
            </w:r>
          </w:p>
        </w:tc>
        <w:tc>
          <w:tcPr>
            <w:tcW w:type="dxa" w:w="2160"/>
          </w:tcPr>
          <w:p>
            <w:r>
              <w:rPr>
                <w:rFonts w:ascii="Times New Roman" w:hAnsi="Times New Roman"/>
                <w:sz w:val="18"/>
              </w:rPr>
              <w:t>General medical fitness</w:t>
            </w:r>
          </w:p>
        </w:tc>
        <w:tc>
          <w:tcPr>
            <w:tcW w:type="dxa" w:w="2160"/>
          </w:tcPr>
          <w:p>
            <w:r>
              <w:rPr>
                <w:rFonts w:ascii="Times New Roman" w:hAnsi="Times New Roman"/>
                <w:sz w:val="18"/>
              </w:rPr>
              <w:t>No</w:t>
            </w:r>
          </w:p>
        </w:tc>
      </w:tr>
      <w:tr>
        <w:tc>
          <w:tcPr>
            <w:tcW w:type="dxa" w:w="2160"/>
          </w:tcPr>
          <w:p>
            <w:r>
              <w:rPr>
                <w:rFonts w:ascii="Times New Roman" w:hAnsi="Times New Roman"/>
                <w:sz w:val="18"/>
              </w:rPr>
              <w:t>South Korea</w:t>
            </w:r>
          </w:p>
        </w:tc>
        <w:tc>
          <w:tcPr>
            <w:tcW w:type="dxa" w:w="2160"/>
          </w:tcPr>
          <w:p>
            <w:r>
              <w:rPr>
                <w:rFonts w:ascii="Times New Roman" w:hAnsi="Times New Roman"/>
                <w:sz w:val="18"/>
              </w:rPr>
              <w:t>Yes (E-9 visa)</w:t>
            </w:r>
          </w:p>
        </w:tc>
        <w:tc>
          <w:tcPr>
            <w:tcW w:type="dxa" w:w="2160"/>
          </w:tcPr>
          <w:p>
            <w:r>
              <w:rPr>
                <w:rFonts w:ascii="Times New Roman" w:hAnsi="Times New Roman"/>
                <w:sz w:val="18"/>
              </w:rPr>
              <w:t>TB screening only</w:t>
            </w:r>
          </w:p>
        </w:tc>
        <w:tc>
          <w:tcPr>
            <w:tcW w:type="dxa" w:w="2160"/>
          </w:tcPr>
          <w:p>
            <w:r>
              <w:rPr>
                <w:rFonts w:ascii="Times New Roman" w:hAnsi="Times New Roman"/>
                <w:sz w:val="18"/>
              </w:rPr>
              <w:t>No</w:t>
            </w:r>
          </w:p>
        </w:tc>
      </w:tr>
      <w:tr>
        <w:tc>
          <w:tcPr>
            <w:tcW w:type="dxa" w:w="2160"/>
          </w:tcPr>
          <w:p>
            <w:r>
              <w:rPr>
                <w:rFonts w:ascii="Times New Roman" w:hAnsi="Times New Roman"/>
                <w:sz w:val="18"/>
              </w:rPr>
              <w:t>Singapore</w:t>
            </w:r>
          </w:p>
        </w:tc>
        <w:tc>
          <w:tcPr>
            <w:tcW w:type="dxa" w:w="2160"/>
          </w:tcPr>
          <w:p>
            <w:r>
              <w:rPr>
                <w:rFonts w:ascii="Times New Roman" w:hAnsi="Times New Roman"/>
                <w:sz w:val="18"/>
              </w:rPr>
              <w:t>Yes (Employment Pass)</w:t>
            </w:r>
          </w:p>
        </w:tc>
        <w:tc>
          <w:tcPr>
            <w:tcW w:type="dxa" w:w="2160"/>
          </w:tcPr>
          <w:p>
            <w:r>
              <w:rPr>
                <w:rFonts w:ascii="Times New Roman" w:hAnsi="Times New Roman"/>
                <w:sz w:val="18"/>
              </w:rPr>
              <w:t>HIV, TB, malaria screening</w:t>
            </w:r>
          </w:p>
        </w:tc>
        <w:tc>
          <w:tcPr>
            <w:tcW w:type="dxa" w:w="2160"/>
          </w:tcPr>
          <w:p>
            <w:r>
              <w:rPr>
                <w:rFonts w:ascii="Times New Roman" w:hAnsi="Times New Roman"/>
                <w:sz w:val="18"/>
              </w:rPr>
              <w:t>No</w:t>
            </w:r>
          </w:p>
        </w:tc>
      </w:tr>
      <w:tr>
        <w:tc>
          <w:tcPr>
            <w:tcW w:type="dxa" w:w="2160"/>
          </w:tcPr>
          <w:p>
            <w:r>
              <w:rPr>
                <w:rFonts w:ascii="Times New Roman" w:hAnsi="Times New Roman"/>
                <w:sz w:val="18"/>
              </w:rPr>
              <w:t>Japan</w:t>
            </w:r>
          </w:p>
        </w:tc>
        <w:tc>
          <w:tcPr>
            <w:tcW w:type="dxa" w:w="2160"/>
          </w:tcPr>
          <w:p>
            <w:r>
              <w:rPr>
                <w:rFonts w:ascii="Times New Roman" w:hAnsi="Times New Roman"/>
                <w:sz w:val="18"/>
              </w:rPr>
              <w:t>No (most work visas)</w:t>
            </w:r>
          </w:p>
        </w:tc>
        <w:tc>
          <w:tcPr>
            <w:tcW w:type="dxa" w:w="2160"/>
          </w:tcPr>
          <w:p>
            <w:r>
              <w:rPr>
                <w:rFonts w:ascii="Times New Roman" w:hAnsi="Times New Roman"/>
                <w:sz w:val="18"/>
              </w:rPr>
              <w:t>No routine medical screening for visa</w:t>
            </w:r>
          </w:p>
        </w:tc>
        <w:tc>
          <w:tcPr>
            <w:tcW w:type="dxa" w:w="2160"/>
          </w:tcPr>
          <w:p>
            <w:r>
              <w:rPr>
                <w:rFonts w:ascii="Times New Roman" w:hAnsi="Times New Roman"/>
                <w:sz w:val="18"/>
              </w:rPr>
              <w:t>No</w:t>
            </w:r>
          </w:p>
        </w:tc>
      </w:tr>
      <w:tr>
        <w:tc>
          <w:tcPr>
            <w:tcW w:type="dxa" w:w="2160"/>
          </w:tcPr>
          <w:p>
            <w:r>
              <w:rPr>
                <w:rFonts w:ascii="Times New Roman" w:hAnsi="Times New Roman"/>
                <w:sz w:val="18"/>
              </w:rPr>
              <w:t>United Kingdom</w:t>
            </w:r>
          </w:p>
        </w:tc>
        <w:tc>
          <w:tcPr>
            <w:tcW w:type="dxa" w:w="2160"/>
          </w:tcPr>
          <w:p>
            <w:r>
              <w:rPr>
                <w:rFonts w:ascii="Times New Roman" w:hAnsi="Times New Roman"/>
                <w:sz w:val="18"/>
              </w:rPr>
              <w:t>Yes (TB for high-risk countries)</w:t>
            </w:r>
          </w:p>
        </w:tc>
        <w:tc>
          <w:tcPr>
            <w:tcW w:type="dxa" w:w="2160"/>
          </w:tcPr>
          <w:p>
            <w:r>
              <w:rPr>
                <w:rFonts w:ascii="Times New Roman" w:hAnsi="Times New Roman"/>
                <w:sz w:val="18"/>
              </w:rPr>
              <w:t>TB screening only</w:t>
            </w:r>
          </w:p>
        </w:tc>
        <w:tc>
          <w:tcPr>
            <w:tcW w:type="dxa" w:w="2160"/>
          </w:tcPr>
          <w:p>
            <w:r>
              <w:rPr>
                <w:rFonts w:ascii="Times New Roman" w:hAnsi="Times New Roman"/>
                <w:sz w:val="18"/>
              </w:rPr>
              <w:t>No</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sz w:val="24"/>
        </w:rPr>
        <w:t>*</w:t>
      </w:r>
      <w:r>
        <w:rPr>
          <w:rFonts w:ascii="Times New Roman" w:hAnsi="Times New Roman"/>
          <w:i/>
          <w:sz w:val="24"/>
        </w:rPr>
        <w:t>Canada</w:t>
      </w:r>
      <w:r>
        <w:rPr>
          <w:rFonts w:ascii="Times New Roman" w:hAnsi="Times New Roman"/>
          <w:sz w:val="24"/>
        </w:rPr>
        <w:t>*: Immigration medical examinations assess whether a foreign national poses a risk to public health or public safety, or might cause excessive demand on health or social services. The list of public health risks is limited to tuberculosis, and leprosy is not specifically mentioned [30].</w:t>
      </w:r>
    </w:p>
    <w:p>
      <w:pPr>
        <w:spacing w:line="480" w:lineRule="auto" w:after="0"/>
      </w:pPr>
      <w:r>
        <w:rPr>
          <w:rFonts w:ascii="Times New Roman" w:hAnsi="Times New Roman"/>
          <w:sz w:val="24"/>
        </w:rPr>
        <w:t>*</w:t>
      </w:r>
      <w:r>
        <w:rPr>
          <w:rFonts w:ascii="Times New Roman" w:hAnsi="Times New Roman"/>
          <w:i/>
          <w:sz w:val="24"/>
        </w:rPr>
        <w:t>Australia</w:t>
      </w:r>
      <w:r>
        <w:rPr>
          <w:rFonts w:ascii="Times New Roman" w:hAnsi="Times New Roman"/>
          <w:sz w:val="24"/>
        </w:rPr>
        <w:t>*: All visa applicants must meet health requirements designed to protect the Australian community from public health risks (primarily tuberculosis) and to contain public expenditure on healthcare. Leprosy is not specifically listed [31].</w:t>
      </w:r>
    </w:p>
    <w:p>
      <w:pPr>
        <w:spacing w:line="480" w:lineRule="auto" w:after="0"/>
      </w:pPr>
      <w:r>
        <w:rPr>
          <w:rFonts w:ascii="Times New Roman" w:hAnsi="Times New Roman"/>
          <w:sz w:val="24"/>
        </w:rPr>
        <w:t>*</w:t>
      </w:r>
      <w:r>
        <w:rPr>
          <w:rFonts w:ascii="Times New Roman" w:hAnsi="Times New Roman"/>
          <w:i/>
          <w:sz w:val="24"/>
        </w:rPr>
        <w:t>Germany</w:t>
      </w:r>
      <w:r>
        <w:rPr>
          <w:rFonts w:ascii="Times New Roman" w:hAnsi="Times New Roman"/>
          <w:sz w:val="24"/>
        </w:rPr>
        <w:t>*: The EU Blue Card and most work residence permits do not require a medical examination unless the applicant will work in certain sectors (e.g., healthcare or food handling). No leprosy-specific provisions have been identified [32].</w:t>
      </w:r>
    </w:p>
    <w:p>
      <w:pPr>
        <w:spacing w:line="480" w:lineRule="auto" w:after="0"/>
      </w:pPr>
      <w:r>
        <w:rPr>
          <w:rFonts w:ascii="Times New Roman" w:hAnsi="Times New Roman"/>
          <w:sz w:val="24"/>
        </w:rPr>
        <w:t>*</w:t>
      </w:r>
      <w:r>
        <w:rPr>
          <w:rFonts w:ascii="Times New Roman" w:hAnsi="Times New Roman"/>
          <w:i/>
          <w:sz w:val="24"/>
        </w:rPr>
        <w:t>France</w:t>
      </w:r>
      <w:r>
        <w:rPr>
          <w:rFonts w:ascii="Times New Roman" w:hAnsi="Times New Roman"/>
          <w:sz w:val="24"/>
        </w:rPr>
        <w:t>*: Long-stay visa applicants may be required to undergo a medical examination through the French Office of Immigration and Integration (OFII), but leprosy is not listed among reportable conditions.</w:t>
      </w:r>
    </w:p>
    <w:p>
      <w:pPr>
        <w:spacing w:line="480" w:lineRule="auto" w:after="0"/>
      </w:pPr>
      <w:r>
        <w:rPr>
          <w:rFonts w:ascii="Times New Roman" w:hAnsi="Times New Roman"/>
          <w:b/>
          <w:sz w:val="24"/>
        </w:rPr>
        <w:t>Comparison: Japan and South Africa</w:t>
      </w:r>
    </w:p>
    <w:p>
      <w:pPr>
        <w:spacing w:line="480" w:lineRule="auto" w:after="0"/>
      </w:pPr>
      <w:r>
        <w:rPr>
          <w:rFonts w:ascii="Times New Roman" w:hAnsi="Times New Roman"/>
          <w:sz w:val="24"/>
        </w:rPr>
        <w:t>Japan's Leprosy Prevention Law framework and South Africa's current immigration regulations represent two distinct models of state-imposed leprosy restriction (Table 4). Japan's law was a domestic public health measure targeting all persons within its territory, whereas South Africa's provision is an immigration control measure targeting foreign nationals. Both lack a sound medical basis, but Japan's law has been repealed and declared unconstitutional, while South Africa's remains in force.</w:t>
      </w:r>
    </w:p>
    <w:p>
      <w:pPr>
        <w:spacing w:line="480" w:lineRule="auto" w:after="0"/>
      </w:pPr>
      <w:r>
        <w:rPr>
          <w:rFonts w:ascii="Times New Roman" w:hAnsi="Times New Roman"/>
          <w:sz w:val="24"/>
        </w:rPr>
        <w:t>| Dimension | Japan | South Africa |</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w:t>
            </w:r>
          </w:p>
        </w:tc>
        <w:tc>
          <w:tcPr>
            <w:tcW w:type="dxa" w:w="2880"/>
          </w:tcPr>
          <w:p>
            <w:r>
              <w:rPr>
                <w:rFonts w:ascii="Times New Roman" w:hAnsi="Times New Roman"/>
                <w:b/>
                <w:sz w:val="18"/>
              </w:rPr>
              <w:t>-------</w:t>
            </w:r>
          </w:p>
        </w:tc>
        <w:tc>
          <w:tcPr>
            <w:tcW w:type="dxa" w:w="2880"/>
          </w:tcPr>
          <w:p>
            <w:r>
              <w:rPr>
                <w:rFonts w:ascii="Times New Roman" w:hAnsi="Times New Roman"/>
                <w:b/>
                <w:sz w:val="18"/>
              </w:rPr>
              <w:t>-------------</w:t>
            </w:r>
          </w:p>
        </w:tc>
      </w:tr>
      <w:tr>
        <w:tc>
          <w:tcPr>
            <w:tcW w:type="dxa" w:w="2880"/>
          </w:tcPr>
          <w:p>
            <w:r>
              <w:rPr>
                <w:rFonts w:ascii="Times New Roman" w:hAnsi="Times New Roman"/>
                <w:sz w:val="18"/>
              </w:rPr>
              <w:t>Target population</w:t>
            </w:r>
          </w:p>
        </w:tc>
        <w:tc>
          <w:tcPr>
            <w:tcW w:type="dxa" w:w="2880"/>
          </w:tcPr>
          <w:p>
            <w:r>
              <w:rPr>
                <w:rFonts w:ascii="Times New Roman" w:hAnsi="Times New Roman"/>
                <w:sz w:val="18"/>
              </w:rPr>
              <w:t>All persons in Japan</w:t>
            </w:r>
          </w:p>
        </w:tc>
        <w:tc>
          <w:tcPr>
            <w:tcW w:type="dxa" w:w="2880"/>
          </w:tcPr>
          <w:p>
            <w:r>
              <w:rPr>
                <w:rFonts w:ascii="Times New Roman" w:hAnsi="Times New Roman"/>
                <w:sz w:val="18"/>
              </w:rPr>
              <w:t>Foreign nationals</w:t>
            </w:r>
          </w:p>
        </w:tc>
      </w:tr>
      <w:tr>
        <w:tc>
          <w:tcPr>
            <w:tcW w:type="dxa" w:w="2880"/>
          </w:tcPr>
          <w:p>
            <w:r>
              <w:rPr>
                <w:rFonts w:ascii="Times New Roman" w:hAnsi="Times New Roman"/>
                <w:sz w:val="18"/>
              </w:rPr>
              <w:t>Nature of restriction</w:t>
            </w:r>
          </w:p>
        </w:tc>
        <w:tc>
          <w:tcPr>
            <w:tcW w:type="dxa" w:w="2880"/>
          </w:tcPr>
          <w:p>
            <w:r>
              <w:rPr>
                <w:rFonts w:ascii="Times New Roman" w:hAnsi="Times New Roman"/>
                <w:sz w:val="18"/>
              </w:rPr>
              <w:t>Compulsory isolation</w:t>
            </w:r>
          </w:p>
        </w:tc>
        <w:tc>
          <w:tcPr>
            <w:tcW w:type="dxa" w:w="2880"/>
          </w:tcPr>
          <w:p>
            <w:r>
              <w:rPr>
                <w:rFonts w:ascii="Times New Roman" w:hAnsi="Times New Roman"/>
                <w:sz w:val="18"/>
              </w:rPr>
              <w:t>Visa refusal for controllable disease</w:t>
            </w:r>
          </w:p>
        </w:tc>
      </w:tr>
      <w:tr>
        <w:tc>
          <w:tcPr>
            <w:tcW w:type="dxa" w:w="2880"/>
          </w:tcPr>
          <w:p>
            <w:r>
              <w:rPr>
                <w:rFonts w:ascii="Times New Roman" w:hAnsi="Times New Roman"/>
                <w:sz w:val="18"/>
              </w:rPr>
              <w:t>Duration</w:t>
            </w:r>
          </w:p>
        </w:tc>
        <w:tc>
          <w:tcPr>
            <w:tcW w:type="dxa" w:w="2880"/>
          </w:tcPr>
          <w:p>
            <w:r>
              <w:rPr>
                <w:rFonts w:ascii="Times New Roman" w:hAnsi="Times New Roman"/>
                <w:sz w:val="18"/>
              </w:rPr>
              <w:t>1907-1996 (approx. 90 years)</w:t>
            </w:r>
          </w:p>
        </w:tc>
        <w:tc>
          <w:tcPr>
            <w:tcW w:type="dxa" w:w="2880"/>
          </w:tcPr>
          <w:p>
            <w:r>
              <w:rPr>
                <w:rFonts w:ascii="Times New Roman" w:hAnsi="Times New Roman"/>
                <w:sz w:val="18"/>
              </w:rPr>
              <w:t>Currently in force</w:t>
            </w:r>
          </w:p>
        </w:tc>
      </w:tr>
      <w:tr>
        <w:tc>
          <w:tcPr>
            <w:tcW w:type="dxa" w:w="2880"/>
          </w:tcPr>
          <w:p>
            <w:r>
              <w:rPr>
                <w:rFonts w:ascii="Times New Roman" w:hAnsi="Times New Roman"/>
                <w:sz w:val="18"/>
              </w:rPr>
              <w:t>Current legal status</w:t>
            </w:r>
          </w:p>
        </w:tc>
        <w:tc>
          <w:tcPr>
            <w:tcW w:type="dxa" w:w="2880"/>
          </w:tcPr>
          <w:p>
            <w:r>
              <w:rPr>
                <w:rFonts w:ascii="Times New Roman" w:hAnsi="Times New Roman"/>
                <w:sz w:val="18"/>
              </w:rPr>
              <w:t>Repealed; unconstitutional</w:t>
            </w:r>
          </w:p>
        </w:tc>
        <w:tc>
          <w:tcPr>
            <w:tcW w:type="dxa" w:w="2880"/>
          </w:tcPr>
          <w:p>
            <w:r>
              <w:rPr>
                <w:rFonts w:ascii="Times New Roman" w:hAnsi="Times New Roman"/>
                <w:sz w:val="18"/>
              </w:rPr>
              <w:t>In force; no known challenge</w:t>
            </w:r>
          </w:p>
        </w:tc>
      </w:tr>
      <w:tr>
        <w:tc>
          <w:tcPr>
            <w:tcW w:type="dxa" w:w="2880"/>
          </w:tcPr>
          <w:p>
            <w:r>
              <w:rPr>
                <w:rFonts w:ascii="Times New Roman" w:hAnsi="Times New Roman"/>
                <w:sz w:val="18"/>
              </w:rPr>
              <w:t>Human rights remedy</w:t>
            </w:r>
          </w:p>
        </w:tc>
        <w:tc>
          <w:tcPr>
            <w:tcW w:type="dxa" w:w="2880"/>
          </w:tcPr>
          <w:p>
            <w:r>
              <w:rPr>
                <w:rFonts w:ascii="Times New Roman" w:hAnsi="Times New Roman"/>
                <w:sz w:val="18"/>
              </w:rPr>
              <w:t>Compensation; apology</w:t>
            </w:r>
          </w:p>
        </w:tc>
        <w:tc>
          <w:tcPr>
            <w:tcW w:type="dxa" w:w="2880"/>
          </w:tcPr>
          <w:p>
            <w:r>
              <w:rPr>
                <w:rFonts w:ascii="Times New Roman" w:hAnsi="Times New Roman"/>
                <w:sz w:val="18"/>
              </w:rPr>
              <w:t>None identified</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sz w:val="24"/>
        </w:rPr>
        <w:t>[To be completed using CRediT taxonomy.]</w:t>
      </w:r>
    </w:p>
    <w:p>
      <w:pPr>
        <w:spacing w:line="480" w:lineRule="auto" w:after="0"/>
      </w:pPr>
      <w:r>
        <w:rPr>
          <w:rFonts w:ascii="Times New Roman" w:hAnsi="Times New Roman"/>
          <w:sz w:val="24"/>
        </w:rPr>
        <w:t>All data extracted for this review are presented in the manuscript and supporting information files.</w:t>
      </w:r>
    </w:p>
    <w:p>
      <w:pPr>
        <w:spacing w:line="480" w:lineRule="auto" w:after="0"/>
      </w:pPr>
      <w:r>
        <w:rPr>
          <w:rFonts w:ascii="Times New Roman" w:hAnsi="Times New Roman"/>
          <w:sz w:val="24"/>
        </w:rPr>
        <w:t>[To be completed.]</w:t>
      </w:r>
    </w:p>
    <w:p>
      <w:pPr>
        <w:spacing w:line="480" w:lineRule="auto" w:after="0"/>
      </w:pPr>
      <w:r>
        <w:rPr>
          <w:rFonts w:ascii="Times New Roman" w:hAnsi="Times New Roman"/>
          <w:sz w:val="24"/>
        </w:rPr>
        <w:t>The authors have declared that no competing interests exist.</w:t>
      </w:r>
    </w:p>
    <w:p>
      <w:pPr>
        <w:pStyle w:val="Heading1"/>
        <w:spacing w:line="480" w:lineRule="auto" w:before="240" w:after="120"/>
      </w:pPr>
      <w:r>
        <w:rPr>
          <w:rFonts w:ascii="Times New Roman" w:hAnsi="Times New Roman"/>
          <w:color w:val="000000"/>
        </w:rPr>
        <w:t>Discussion</w:t>
      </w:r>
    </w:p>
    <w:p>
      <w:pPr>
        <w:spacing w:line="480" w:lineRule="auto" w:after="0"/>
      </w:pPr>
      <w:r>
        <w:rPr>
          <w:rFonts w:ascii="Times New Roman" w:hAnsi="Times New Roman"/>
          <w:b/>
          <w:sz w:val="24"/>
        </w:rPr>
        <w:t>Summary of findings</w:t>
      </w:r>
    </w:p>
    <w:p>
      <w:pPr>
        <w:spacing w:line="480" w:lineRule="auto" w:after="0"/>
      </w:pPr>
      <w:r>
        <w:rPr>
          <w:rFonts w:ascii="Times New Roman" w:hAnsi="Times New Roman"/>
          <w:sz w:val="24"/>
        </w:rPr>
        <w:t>This scoping review provides the first systematic global mapping of leprosy-specific labour visa restrictions. We identified 12 countries that currently maintain statutory or regulatory provisions listing leprosy as a ground for visa or residence restriction: the six GCC states (Saudi Arabia, Qatar, Kuwait, United Arab Emirates, Bahrain, Oman), South Africa, Thailand, Taiwan, the Philippines, the United States, and Russia. We identified 3 countries -- Japan, India, and the United Kingdom -- that have abolished such provisions. A large majority of countries (77.9%) could not be categorized due to insufficient data.</w:t>
      </w:r>
    </w:p>
    <w:p>
      <w:pPr>
        <w:spacing w:line="480" w:lineRule="auto" w:after="0"/>
      </w:pPr>
      <w:r>
        <w:rPr>
          <w:rFonts w:ascii="Times New Roman" w:hAnsi="Times New Roman"/>
          <w:b/>
          <w:sz w:val="24"/>
        </w:rPr>
        <w:t>Interpretation and implications</w:t>
      </w:r>
    </w:p>
    <w:p>
      <w:pPr>
        <w:spacing w:line="480" w:lineRule="auto" w:after="0"/>
      </w:pPr>
      <w:r>
        <w:rPr>
          <w:rFonts w:ascii="Times New Roman" w:hAnsi="Times New Roman"/>
          <w:sz w:val="24"/>
        </w:rPr>
        <w:t>The persistence of leprosy-specific immigration restrictions has several implications. First, these provisions contradict well-established medical evidence. Leprosy is not a quarantinable disease under the IHR (2005) [8]; MDT renders patients non-infectious within days to weeks of commencing treatment [2]; and the risk of transmission is negligible in occupational or social settings. No public health rationale supports restricting the entry or employment of persons with leprosy.</w:t>
      </w:r>
    </w:p>
    <w:p>
      <w:pPr>
        <w:spacing w:line="480" w:lineRule="auto" w:after="0"/>
      </w:pPr>
      <w:r>
        <w:rPr>
          <w:rFonts w:ascii="Times New Roman" w:hAnsi="Times New Roman"/>
          <w:sz w:val="24"/>
        </w:rPr>
        <w:t>Second, these provisions may reinforce stigma. Leprosy is among the most stigmatized diseases in human history [4]. The inclusion of leprosy in immigration screening lists sends a signal that persons with leprosy are dangerous or undesirable, perpetuating misconceptions that undermine elimination efforts.</w:t>
      </w:r>
    </w:p>
    <w:p>
      <w:pPr>
        <w:spacing w:line="480" w:lineRule="auto" w:after="0"/>
      </w:pPr>
      <w:r>
        <w:rPr>
          <w:rFonts w:ascii="Times New Roman" w:hAnsi="Times New Roman"/>
          <w:sz w:val="24"/>
        </w:rPr>
        <w:t>Third, the patchwork of Tier A countries suggests a geographic and economic pattern. The GCC states are high-income oil-exporting nations whose labour markets depend heavily on migrant workers; their unified medical screening framework subjects millions of expatriate workers to leprosy screening. South Africa, Thailand, Taiwan, the Philippines, and Russia are upper-middle-income countries, while the United States is a high-income country. This diversity indicates that leprosy-related visa restrictions are not confined to a particular income level but rather reflect varied historical and administrative trajectories.</w:t>
      </w:r>
    </w:p>
    <w:p>
      <w:pPr>
        <w:spacing w:line="480" w:lineRule="auto" w:after="0"/>
      </w:pPr>
      <w:r>
        <w:rPr>
          <w:rFonts w:ascii="Times New Roman" w:hAnsi="Times New Roman"/>
          <w:sz w:val="24"/>
        </w:rPr>
        <w:t>The Japanese example offers instructive lessons. Japan's Leprosy Prevention Law persisted for 43 years after curative treatment became available [6]. Its repeal in 1996 and the subsequent constitutional ruling in 2001 demonstrate that legal reform is achievable even for deeply entrenched provisions. The Japanese experience also highlights the importance of patient advocacy and judicial review in challenging medically unjustified restrictions.</w:t>
      </w:r>
    </w:p>
    <w:p>
      <w:pPr>
        <w:spacing w:line="480" w:lineRule="auto" w:after="0"/>
      </w:pPr>
      <w:r>
        <w:rPr>
          <w:rFonts w:ascii="Times New Roman" w:hAnsi="Times New Roman"/>
          <w:b/>
          <w:sz w:val="24"/>
        </w:rPr>
        <w:t>Comparison with other disease-specific immigration restrictions</w:t>
      </w:r>
    </w:p>
    <w:p>
      <w:pPr>
        <w:spacing w:line="480" w:lineRule="auto" w:after="0"/>
      </w:pPr>
      <w:r>
        <w:rPr>
          <w:rFonts w:ascii="Times New Roman" w:hAnsi="Times New Roman"/>
          <w:sz w:val="24"/>
        </w:rPr>
        <w:t>The trajectory of leprosy-related immigration restrictions parallels that of HIV/AIDS restrictions. Until the 2000s, dozens of countries explicitly barred entry or residence by persons living with HIV [9]. The United States lifted its HIV travel ban in 2010, and South Africa repealed its HIV-related immigration restrictions in 2008. Today, few countries maintain HIV-specific travel restrictions, and those that do face sustained criticism from UNAIDS and human rights organizations [33]. Leprosy-related restrictions have attracted far less attention, perhaps because of the smaller number of affected individuals and the lower visibility of advocacy movements.</w:t>
      </w:r>
    </w:p>
    <w:p>
      <w:pPr>
        <w:spacing w:line="480" w:lineRule="auto" w:after="0"/>
      </w:pPr>
      <w:r>
        <w:rPr>
          <w:rFonts w:ascii="Times New Roman" w:hAnsi="Times New Roman"/>
          <w:b/>
          <w:sz w:val="24"/>
        </w:rPr>
        <w:t>Limitations</w:t>
      </w:r>
    </w:p>
    <w:p>
      <w:pPr>
        <w:spacing w:line="480" w:lineRule="auto" w:after="0"/>
      </w:pPr>
      <w:r>
        <w:rPr>
          <w:rFonts w:ascii="Times New Roman" w:hAnsi="Times New Roman"/>
          <w:sz w:val="24"/>
        </w:rPr>
        <w:t>This review has several important limitations. First, data were obtainable for only 22.1% of the 195 countries surveyed. This reflects the significant challenges of accessing immigration regulations from countries where official documents are not available in English, French, or Japanese, and where government websites employ bot-detection mechanisms that block automated access. The 77.9% Tier D category highlights the need for primary data collection through diplomatic channels, surveys of immigration authorities, and multilingual document analysis. Second, the existence of a statutory provision does not necessarily indicate active enforcement. For example, while Thailand's Ministerial Regulation No. 14 lists leprosy as a prohibited disease, the frequency and consistency with which work permit applications are actually screened for leprosy could not be determined. Third, the categorization framework simplifies a complex landscape. Some countries may have regional or provincial variations in health screening requirements, and others may have unwritten policies or administrative practices that differ from published regulations.</w:t>
      </w:r>
    </w:p>
    <w:p>
      <w:pPr>
        <w:spacing w:line="480" w:lineRule="auto" w:after="0"/>
      </w:pPr>
      <w:r>
        <w:rPr>
          <w:rFonts w:ascii="Times New Roman" w:hAnsi="Times New Roman"/>
          <w:sz w:val="24"/>
        </w:rPr>
        <w:t>Fourth, our ability to access primary legal sources varied considerably by country. We successfully obtained and analyzed the full text of South Africa's Immigration Regulations, 2014 (Gazette No. 37679, 272 pages), which confirmed that the disease list operates through a chain of delegation: the Immigration Act (s29(1)(a)) delegates to the Immigration Regulations (Reg 26(1)), which in turn delegates to the International Health Regulations Act, 1974, and Department of Health determinations. This complex delegation chain means that the specific disease list, including whether leprosy is included, may change through health regulations rather than immigration regulations directly. For most other countries, comparable primary-source verification was not possible due to access restrictions.</w:t>
      </w:r>
    </w:p>
    <w:p>
      <w:pPr>
        <w:spacing w:line="480" w:lineRule="auto" w:after="0"/>
      </w:pPr>
      <w:r>
        <w:rPr>
          <w:rFonts w:ascii="Times New Roman" w:hAnsi="Times New Roman"/>
          <w:b/>
          <w:sz w:val="24"/>
        </w:rPr>
        <w:t>Future research directions</w:t>
      </w:r>
    </w:p>
    <w:p>
      <w:pPr>
        <w:spacing w:line="480" w:lineRule="auto" w:after="0"/>
      </w:pPr>
      <w:r>
        <w:rPr>
          <w:rFonts w:ascii="Times New Roman" w:hAnsi="Times New Roman"/>
          <w:sz w:val="24"/>
        </w:rPr>
        <w:t>Future research should aim to (1) collect primary data from the 159 Tier D countries through multilingual document analysis, surveys of diplomatic missions, and key informant interviews; (2) investigate the enforcement record of Tier A countries through freedom of information requests and case law analysis; (3) examine the historical origins of leprosy-specific immigration provisions, particularly in former colonies where legal frameworks may reflect colonial-era disease control legislation; and (4) evaluate the human rights impact of these provisions through qualitative research with affected populations.</w:t>
      </w:r>
    </w:p>
    <w:p>
      <w:pPr>
        <w:pStyle w:val="Heading1"/>
        <w:spacing w:line="480" w:lineRule="auto" w:before="240" w:after="120"/>
      </w:pPr>
      <w:r>
        <w:rPr>
          <w:rFonts w:ascii="Times New Roman" w:hAnsi="Times New Roman"/>
          <w:color w:val="000000"/>
        </w:rPr>
        <w:t>Conclusions</w:t>
      </w:r>
    </w:p>
    <w:p>
      <w:pPr>
        <w:spacing w:line="480" w:lineRule="auto" w:after="0"/>
      </w:pPr>
      <w:r>
        <w:rPr>
          <w:rFonts w:ascii="Times New Roman" w:hAnsi="Times New Roman"/>
          <w:sz w:val="24"/>
        </w:rPr>
        <w:t>Leprosy remains a statutory or regulatory ground for labour visa or residence restriction in at least 12 countries, spanning the Middle East, Africa, East Asia, Southeast Asia, Europe, and North America. These provisions lack a basis in current medical science, contradict WHO guidance under the IHR (2005), and risk reinforcing stigma against a population already vulnerable to discrimination. The GCC Unified Medical Examination Regulations alone subject millions of migrant workers across six countries to mandatory leprosy screening. While Japan's repeal of its Leprosy Prevention Law provides a precedent for reform, the persistence of such provisions in other countries indicates that continued advocacy and evidence generation are needed. We call for systematic repeal of leprosy-specific immigration restrictions and for further research to complete the global map of these provisions.</w:t>
      </w:r>
    </w:p>
    <w:p>
      <w:pPr>
        <w:pStyle w:val="Heading1"/>
        <w:spacing w:line="480" w:lineRule="auto" w:before="240" w:after="120"/>
      </w:pPr>
      <w:r>
        <w:rPr>
          <w:rFonts w:ascii="Times New Roman" w:hAnsi="Times New Roman"/>
          <w:color w:val="000000"/>
        </w:rPr>
        <w:t>Acknowledgments</w:t>
      </w:r>
    </w:p>
    <w:p>
      <w:pPr>
        <w:spacing w:line="480" w:lineRule="auto" w:after="0"/>
      </w:pPr>
      <w:r>
        <w:rPr>
          <w:rFonts w:ascii="Times New Roman" w:hAnsi="Times New Roman"/>
          <w:sz w:val="24"/>
        </w:rPr>
        <w:t>[To be added: funding sources, institutional support, individuals who provided assistance.]</w:t>
      </w:r>
    </w:p>
    <w:p>
      <w:pPr>
        <w:pStyle w:val="Heading1"/>
        <w:spacing w:line="480" w:lineRule="auto" w:before="240" w:after="120"/>
      </w:pPr>
      <w:r>
        <w:rPr>
          <w:rFonts w:ascii="Times New Roman" w:hAnsi="Times New Roman"/>
          <w:color w:val="000000"/>
        </w:rPr>
        <w:t>References</w:t>
      </w:r>
    </w:p>
    <w:p>
      <w:pPr>
        <w:spacing w:line="480" w:lineRule="auto" w:after="40"/>
        <w:ind w:left="720" w:hanging="720"/>
      </w:pPr>
      <w:r>
        <w:rPr>
          <w:rFonts w:ascii="Times New Roman" w:hAnsi="Times New Roman"/>
          <w:sz w:val="20"/>
        </w:rPr>
        <w:t>1. Britton WJ, Lockwood DN. Leprosy. Lancet. 2004;363(9416):1209-1219. doi: 10.1016/S0140-6736(04)15952-7.</w:t>
      </w:r>
    </w:p>
    <w:p>
      <w:pPr>
        <w:spacing w:line="480" w:lineRule="auto" w:after="40"/>
        <w:ind w:left="720" w:hanging="720"/>
      </w:pPr>
      <w:r>
        <w:rPr>
          <w:rFonts w:ascii="Times New Roman" w:hAnsi="Times New Roman"/>
          <w:sz w:val="20"/>
        </w:rPr>
        <w:t>2. World Health Organization. Leprosy (Hansen's disease): fact sheet. Geneva: WHO; 2023. Available from: https://www.who.int/news-room/fact-sheets/detail/leprosy.</w:t>
      </w:r>
    </w:p>
    <w:p>
      <w:pPr>
        <w:spacing w:line="480" w:lineRule="auto" w:after="40"/>
        <w:ind w:left="720" w:hanging="720"/>
      </w:pPr>
      <w:r>
        <w:rPr>
          <w:rFonts w:ascii="Times New Roman" w:hAnsi="Times New Roman"/>
          <w:sz w:val="20"/>
        </w:rPr>
        <w:t>3. World Health Organization. Global leprosy (Hansen disease) update, 2022: time for action on the 2030 road map. Wkly Epidemiol Rec. 2023;98(37):409-430.</w:t>
      </w:r>
    </w:p>
    <w:p>
      <w:pPr>
        <w:spacing w:line="480" w:lineRule="auto" w:after="40"/>
        <w:ind w:left="720" w:hanging="720"/>
      </w:pPr>
      <w:r>
        <w:rPr>
          <w:rFonts w:ascii="Times New Roman" w:hAnsi="Times New Roman"/>
          <w:sz w:val="20"/>
        </w:rPr>
        <w:t>4. Gussow Z, Tracy GS. Stigma and the leprosy phenomenon: the social history of a disease in the nineteenth and twentieth centuries. Bull Hist Med. 1970;44(5):425-449.</w:t>
      </w:r>
    </w:p>
    <w:p>
      <w:pPr>
        <w:spacing w:line="480" w:lineRule="auto" w:after="40"/>
        <w:ind w:left="720" w:hanging="720"/>
      </w:pPr>
      <w:r>
        <w:rPr>
          <w:rFonts w:ascii="Times New Roman" w:hAnsi="Times New Roman"/>
          <w:sz w:val="20"/>
        </w:rPr>
        <w:t>5. Kumamoto District Court. Judgment on the Leprosy Prevention Law constitutionality case. 11 May 2001. Hanrei Jiho No. 1748, p. 30.</w:t>
      </w:r>
    </w:p>
    <w:p>
      <w:pPr>
        <w:spacing w:line="480" w:lineRule="auto" w:after="40"/>
        <w:ind w:left="720" w:hanging="720"/>
      </w:pPr>
      <w:r>
        <w:rPr>
          <w:rFonts w:ascii="Times New Roman" w:hAnsi="Times New Roman"/>
          <w:sz w:val="20"/>
        </w:rPr>
        <w:t>6. Japan. Leprosy Prevention Law (Law No. 214 of 1953), repealed by Law No. 28 of 1996, effective 1 April 1996.</w:t>
      </w:r>
    </w:p>
    <w:p>
      <w:pPr>
        <w:spacing w:line="480" w:lineRule="auto" w:after="40"/>
        <w:ind w:left="720" w:hanging="720"/>
      </w:pPr>
      <w:r>
        <w:rPr>
          <w:rFonts w:ascii="Times New Roman" w:hAnsi="Times New Roman"/>
          <w:sz w:val="20"/>
        </w:rPr>
        <w:t>7. United States. Immigration and Nationality Act of 1952 (Pub. L. 82-414), Section 212(a) (historical provision, later amended).</w:t>
      </w:r>
    </w:p>
    <w:p>
      <w:pPr>
        <w:spacing w:line="480" w:lineRule="auto" w:after="40"/>
        <w:ind w:left="720" w:hanging="720"/>
      </w:pPr>
      <w:r>
        <w:rPr>
          <w:rFonts w:ascii="Times New Roman" w:hAnsi="Times New Roman"/>
          <w:sz w:val="20"/>
        </w:rPr>
        <w:t>8. World Health Organization. International Health Regulations (2005). 3rd ed. Geneva: WHO; 2016.</w:t>
      </w:r>
    </w:p>
    <w:p>
      <w:pPr>
        <w:spacing w:line="480" w:lineRule="auto" w:after="40"/>
        <w:ind w:left="720" w:hanging="720"/>
      </w:pPr>
      <w:r>
        <w:rPr>
          <w:rFonts w:ascii="Times New Roman" w:hAnsi="Times New Roman"/>
          <w:sz w:val="20"/>
        </w:rPr>
        <w:t>9. UNAIDS. Discrimination in immigration laws based on HIV status. UNAIDS/WHO Policy Brief. Geneva: UNAIDS; 2020.</w:t>
      </w:r>
    </w:p>
    <w:p>
      <w:pPr>
        <w:spacing w:line="480" w:lineRule="auto" w:after="40"/>
        <w:ind w:left="720" w:hanging="720"/>
      </w:pPr>
      <w:r>
        <w:rPr>
          <w:rFonts w:ascii="Times New Roman" w:hAnsi="Times New Roman"/>
          <w:sz w:val="20"/>
        </w:rPr>
        <w:t>10. Tricco AC, Lillie E, Zarin W, O'Brien KK, Colquhoun H, Levac D, et al. PRISMA extension for scoping reviews (PRISMA-ScR): checklist and explanation. Ann Intern Med. 2018;169(7):467-473. doi: 10.7326/M18-0850.</w:t>
      </w:r>
    </w:p>
    <w:p>
      <w:pPr>
        <w:spacing w:line="480" w:lineRule="auto" w:after="40"/>
        <w:ind w:left="720" w:hanging="720"/>
      </w:pPr>
      <w:r>
        <w:rPr>
          <w:rFonts w:ascii="Times New Roman" w:hAnsi="Times New Roman"/>
          <w:sz w:val="20"/>
        </w:rPr>
        <w:t>11. Gulf Health Council. Regulations of Medical Examination of Expatriates Coming to GCC States for Work or Residence. Riyadh: GHC; [current]. Available from: https://wafid.com/static/pdf/Regulations%20of%20Medical%20Examination%20of%20Expatriates%20Coming%20to%20GCC%20States%20for%20Work%20or%20Residence.pdf</w:t>
      </w:r>
    </w:p>
    <w:p>
      <w:pPr>
        <w:spacing w:line="480" w:lineRule="auto" w:after="40"/>
        <w:ind w:left="720" w:hanging="720"/>
      </w:pPr>
      <w:r>
        <w:rPr>
          <w:rFonts w:ascii="Times New Roman" w:hAnsi="Times New Roman"/>
          <w:sz w:val="20"/>
        </w:rPr>
        <w:t>12. Wafid Programme. GCC visa medical test requirements. [cited 2026 Apr 24]. Available from: https://www.wafidbooking.com/gcc-visa-medical-test</w:t>
      </w:r>
    </w:p>
    <w:p>
      <w:pPr>
        <w:spacing w:line="480" w:lineRule="auto" w:after="40"/>
        <w:ind w:left="720" w:hanging="720"/>
      </w:pPr>
      <w:r>
        <w:rPr>
          <w:rFonts w:ascii="Times New Roman" w:hAnsi="Times New Roman"/>
          <w:sz w:val="20"/>
        </w:rPr>
        <w:t>13. Saudi Arabia Ministry of Health. Expatriate medical examination requirements. Riyadh: MOH; [current].</w:t>
      </w:r>
    </w:p>
    <w:p>
      <w:pPr>
        <w:spacing w:line="480" w:lineRule="auto" w:after="40"/>
        <w:ind w:left="720" w:hanging="720"/>
      </w:pPr>
      <w:r>
        <w:rPr>
          <w:rFonts w:ascii="Times New Roman" w:hAnsi="Times New Roman"/>
          <w:sz w:val="20"/>
        </w:rPr>
        <w:t>14. Qatar Supreme Council of Health. Pre-employment medical examination for expatriate workers. Doha: SCH; [current].</w:t>
      </w:r>
    </w:p>
    <w:p>
      <w:pPr>
        <w:spacing w:line="480" w:lineRule="auto" w:after="40"/>
        <w:ind w:left="720" w:hanging="720"/>
      </w:pPr>
      <w:r>
        <w:rPr>
          <w:rFonts w:ascii="Times New Roman" w:hAnsi="Times New Roman"/>
          <w:sz w:val="20"/>
        </w:rPr>
        <w:t>15. Kuwait Ministry of Health. Expatriate worker medical screening regulations. Kuwait City: MOH; [current].</w:t>
      </w:r>
    </w:p>
    <w:p>
      <w:pPr>
        <w:spacing w:line="480" w:lineRule="auto" w:after="40"/>
        <w:ind w:left="720" w:hanging="720"/>
      </w:pPr>
      <w:r>
        <w:rPr>
          <w:rFonts w:ascii="Times New Roman" w:hAnsi="Times New Roman"/>
          <w:sz w:val="20"/>
        </w:rPr>
        <w:t>16. United Arab Emirates Government. Health conditions for UAE residence visa. Abu Dhabi: UAE Government Portal; [current]. Available from: https://u.ae/en/information-and-services/health-and-fitness/health-conditions-for-uae-residence-visa</w:t>
      </w:r>
    </w:p>
    <w:p>
      <w:pPr>
        <w:spacing w:line="480" w:lineRule="auto" w:after="40"/>
        <w:ind w:left="720" w:hanging="720"/>
      </w:pPr>
      <w:r>
        <w:rPr>
          <w:rFonts w:ascii="Times New Roman" w:hAnsi="Times New Roman"/>
          <w:sz w:val="20"/>
        </w:rPr>
        <w:t>17. Republic of South Africa. Immigration Regulations, 2014 (GN R.416, Government Gazette No. 37679 of 22 May 2014), Regulation 26(1).</w:t>
      </w:r>
    </w:p>
    <w:p>
      <w:pPr>
        <w:spacing w:line="480" w:lineRule="auto" w:after="40"/>
        <w:ind w:left="720" w:hanging="720"/>
      </w:pPr>
      <w:r>
        <w:rPr>
          <w:rFonts w:ascii="Times New Roman" w:hAnsi="Times New Roman"/>
          <w:sz w:val="20"/>
        </w:rPr>
        <w:t>18. Thailand. Ministerial Regulation No. 14 (B.E. 2535) issued under the Alien Working Act B.E. 2551 (2008).</w:t>
      </w:r>
    </w:p>
    <w:p>
      <w:pPr>
        <w:spacing w:line="480" w:lineRule="auto" w:after="40"/>
        <w:ind w:left="720" w:hanging="720"/>
      </w:pPr>
      <w:r>
        <w:rPr>
          <w:rFonts w:ascii="Times New Roman" w:hAnsi="Times New Roman"/>
          <w:sz w:val="20"/>
        </w:rPr>
        <w:t>19. Thailand Department of Employment. Health check requirements for foreign workers' work permits. Bangkok; [current].</w:t>
      </w:r>
    </w:p>
    <w:p>
      <w:pPr>
        <w:spacing w:line="480" w:lineRule="auto" w:after="40"/>
        <w:ind w:left="720" w:hanging="720"/>
      </w:pPr>
      <w:r>
        <w:rPr>
          <w:rFonts w:ascii="Times New Roman" w:hAnsi="Times New Roman"/>
          <w:sz w:val="20"/>
        </w:rPr>
        <w:t>20. Taiwan Centers for Disease Control. Items Required for Health Certificate for Residence in Taiwan. Taipei: Taiwan CDC; 2022. Available from: https://www.roc-taiwan.org/uploads/sites/155/2022/11/Items-Required-for-Health-Certificate-for-Residence-in-Taiwan-Taiwan-Centers-for-Disease-Control.pdf</w:t>
      </w:r>
    </w:p>
    <w:p>
      <w:pPr>
        <w:spacing w:line="480" w:lineRule="auto" w:after="40"/>
        <w:ind w:left="720" w:hanging="720"/>
      </w:pPr>
      <w:r>
        <w:rPr>
          <w:rFonts w:ascii="Times New Roman" w:hAnsi="Times New Roman"/>
          <w:sz w:val="20"/>
        </w:rPr>
        <w:t>21. Philippines Department of Foreign Affairs. FA Form No. 11: Medical Examination for Immigrant Visa Applicant. Manila: DFA; [current].</w:t>
      </w:r>
    </w:p>
    <w:p>
      <w:pPr>
        <w:spacing w:line="480" w:lineRule="auto" w:after="40"/>
        <w:ind w:left="720" w:hanging="720"/>
      </w:pPr>
      <w:r>
        <w:rPr>
          <w:rFonts w:ascii="Times New Roman" w:hAnsi="Times New Roman"/>
          <w:sz w:val="20"/>
        </w:rPr>
        <w:t>22. Centers for Disease Control and Prevention. Technical Instructions for Hansen's Disease (Leprosy) for Civil Surgeons. Atlanta: CDC; [current]. Available from: https://www.cdc.gov/immigrant-refugee-health/hcp/civil-surgeons/hansens-disease.html</w:t>
      </w:r>
    </w:p>
    <w:p>
      <w:pPr>
        <w:spacing w:line="480" w:lineRule="auto" w:after="40"/>
        <w:ind w:left="720" w:hanging="720"/>
      </w:pPr>
      <w:r>
        <w:rPr>
          <w:rFonts w:ascii="Times New Roman" w:hAnsi="Times New Roman"/>
          <w:sz w:val="20"/>
        </w:rPr>
        <w:t>23. U.S. Citizenship and Immigration Services. Policy Manual, Volume 8, Part B, Chapter 6: Communicable Diseases of Public Health Significance. Washington, DC: USCIS; [current]. Available from: https://www.uscis.gov/policy-manual/volume-8-part-b-chapter-6</w:t>
      </w:r>
    </w:p>
    <w:p>
      <w:pPr>
        <w:spacing w:line="480" w:lineRule="auto" w:after="40"/>
        <w:ind w:left="720" w:hanging="720"/>
      </w:pPr>
      <w:r>
        <w:rPr>
          <w:rFonts w:ascii="Times New Roman" w:hAnsi="Times New Roman"/>
          <w:sz w:val="20"/>
        </w:rPr>
        <w:t>24. Russian Federation. Federal Law No. 357-FZ of 1 July 2021. Moscow; 2021.</w:t>
      </w:r>
    </w:p>
    <w:p>
      <w:pPr>
        <w:spacing w:line="480" w:lineRule="auto" w:after="40"/>
        <w:ind w:left="720" w:hanging="720"/>
      </w:pPr>
      <w:r>
        <w:rPr>
          <w:rFonts w:ascii="Times New Roman" w:hAnsi="Times New Roman"/>
          <w:sz w:val="20"/>
        </w:rPr>
        <w:t>25. BBC News. Russia orders health and drug checks for foreigners. 2 February 2022. Available from: https://www.bbc.com/news/world-europe-59820777</w:t>
      </w:r>
    </w:p>
    <w:p>
      <w:pPr>
        <w:spacing w:line="480" w:lineRule="auto" w:after="40"/>
        <w:ind w:left="720" w:hanging="720"/>
      </w:pPr>
      <w:r>
        <w:rPr>
          <w:rFonts w:ascii="Times New Roman" w:hAnsi="Times New Roman"/>
          <w:sz w:val="20"/>
        </w:rPr>
        <w:t>26. Association of European Businesses (AEB). Medical tests, fingerprinting, and photographing of foreign nationals in the Russian Federation: FAQ. Moscow: AEB; 2022. Available from: https://aebrus.ru/upload/iblock/f2c/GR_FAQ-re-medical-checks-and-biometric-registration_ENG.pdf</w:t>
      </w:r>
    </w:p>
    <w:p>
      <w:pPr>
        <w:spacing w:line="480" w:lineRule="auto" w:after="40"/>
        <w:ind w:left="720" w:hanging="720"/>
      </w:pPr>
      <w:r>
        <w:rPr>
          <w:rFonts w:ascii="Times New Roman" w:hAnsi="Times New Roman"/>
          <w:sz w:val="20"/>
        </w:rPr>
        <w:t>27. Japan. Immigration Control and Refugee Recognition Act (Cabinet Order No. 319 of 1951), as amended.</w:t>
      </w:r>
    </w:p>
    <w:p>
      <w:pPr>
        <w:spacing w:line="480" w:lineRule="auto" w:after="40"/>
        <w:ind w:left="720" w:hanging="720"/>
      </w:pPr>
      <w:r>
        <w:rPr>
          <w:rFonts w:ascii="Times New Roman" w:hAnsi="Times New Roman"/>
          <w:sz w:val="20"/>
        </w:rPr>
        <w:t>28. India. The Lepers Act, 1898 (Act No. 3 of 1898), repealed by the Repealing and Amending Act, 2019.</w:t>
      </w:r>
    </w:p>
    <w:p>
      <w:pPr>
        <w:spacing w:line="480" w:lineRule="auto" w:after="40"/>
        <w:ind w:left="720" w:hanging="720"/>
      </w:pPr>
      <w:r>
        <w:rPr>
          <w:rFonts w:ascii="Times New Roman" w:hAnsi="Times New Roman"/>
          <w:sz w:val="20"/>
        </w:rPr>
        <w:t>29. UK Home Office. Tuberculosis screening for visa applicants: guidance. London: Home Office; [current].</w:t>
      </w:r>
    </w:p>
    <w:p>
      <w:pPr>
        <w:spacing w:line="480" w:lineRule="auto" w:after="40"/>
        <w:ind w:left="720" w:hanging="720"/>
      </w:pPr>
      <w:r>
        <w:rPr>
          <w:rFonts w:ascii="Times New Roman" w:hAnsi="Times New Roman"/>
          <w:sz w:val="20"/>
        </w:rPr>
        <w:t>30. Immigration, Refugees and Citizenship Canada. Medical examination instructions for applicants. Ottawa: IRCC; [current].</w:t>
      </w:r>
    </w:p>
    <w:p>
      <w:pPr>
        <w:spacing w:line="480" w:lineRule="auto" w:after="40"/>
        <w:ind w:left="720" w:hanging="720"/>
      </w:pPr>
      <w:r>
        <w:rPr>
          <w:rFonts w:ascii="Times New Roman" w:hAnsi="Times New Roman"/>
          <w:sz w:val="20"/>
        </w:rPr>
        <w:t>31. Australian Department of Home Affairs. Health requirements for visa applicants. Canberra: DHA; [current].</w:t>
      </w:r>
    </w:p>
    <w:p>
      <w:pPr>
        <w:spacing w:line="480" w:lineRule="auto" w:after="40"/>
        <w:ind w:left="720" w:hanging="720"/>
      </w:pPr>
      <w:r>
        <w:rPr>
          <w:rFonts w:ascii="Times New Roman" w:hAnsi="Times New Roman"/>
          <w:sz w:val="20"/>
        </w:rPr>
        <w:t>32. Germany. Aufenthaltsgesetz (Residence Act) of 30 July 2004 (BGBl. I S. 1950), as amended.</w:t>
      </w:r>
    </w:p>
    <w:p>
      <w:pPr>
        <w:spacing w:line="480" w:lineRule="auto" w:after="40"/>
        <w:ind w:left="720" w:hanging="720"/>
      </w:pPr>
      <w:r>
        <w:rPr>
          <w:rFonts w:ascii="Times New Roman" w:hAnsi="Times New Roman"/>
          <w:sz w:val="20"/>
        </w:rPr>
        <w:t>33. UNAIDS. HIV-related travel restrictions. Geneva: UNAIDS; 2023. Available from: https://www.unaids.org/en/keyissues/travelrestrictions.</w:t>
      </w:r>
    </w:p>
    <w:p>
      <w:pPr>
        <w:pStyle w:val="Heading1"/>
        <w:spacing w:line="480" w:lineRule="auto" w:before="240" w:after="120"/>
      </w:pPr>
      <w:r>
        <w:rPr>
          <w:rFonts w:ascii="Times New Roman" w:hAnsi="Times New Roman"/>
          <w:color w:val="000000"/>
        </w:rPr>
        <w:t>Supporting information</w:t>
      </w:r>
    </w:p>
    <w:p>
      <w:pPr>
        <w:spacing w:line="480" w:lineRule="auto" w:after="0"/>
      </w:pPr>
      <w:r>
        <w:rPr>
          <w:rFonts w:ascii="Times New Roman" w:hAnsi="Times New Roman"/>
          <w:sz w:val="24"/>
        </w:rPr>
        <w:t>*</w:t>
      </w:r>
      <w:r>
        <w:rPr>
          <w:rFonts w:ascii="Times New Roman" w:hAnsi="Times New Roman"/>
          <w:i/>
          <w:sz w:val="24"/>
        </w:rPr>
        <w:t>S1 Checklist. PRISMA-ScR checklist.</w:t>
      </w:r>
      <w:r>
        <w:rPr>
          <w:rFonts w:ascii="Times New Roman" w:hAnsi="Times New Roman"/>
          <w:sz w:val="24"/>
        </w:rPr>
        <w:t>*</w:t>
      </w:r>
    </w:p>
    <w:p>
      <w:pPr>
        <w:spacing w:line="480" w:lineRule="auto" w:after="0"/>
      </w:pPr>
      <w:r>
        <w:rPr>
          <w:rFonts w:ascii="Times New Roman" w:hAnsi="Times New Roman"/>
          <w:sz w:val="24"/>
        </w:rPr>
        <w:t>*</w:t>
      </w:r>
      <w:r>
        <w:rPr>
          <w:rFonts w:ascii="Times New Roman" w:hAnsi="Times New Roman"/>
          <w:i/>
          <w:sz w:val="24"/>
        </w:rPr>
        <w:t>S1 Data. Data extraction spreadsheet used in the scoping review.</w:t>
      </w:r>
      <w:r>
        <w:rPr>
          <w:rFonts w:ascii="Times New Roman" w:hAnsi="Times New Roman"/>
          <w:sz w:val="24"/>
        </w:rPr>
        <w:t>*</w:t>
      </w:r>
    </w:p>
    <w:p>
      <w:pPr>
        <w:spacing w:line="480" w:lineRule="auto" w:after="0"/>
      </w:pPr>
      <w:r>
        <w:rPr>
          <w:rFonts w:ascii="Times New Roman" w:hAnsi="Times New Roman"/>
          <w:sz w:val="24"/>
        </w:rPr>
        <w:t>[To be completed using CRediT taxonomy.]</w:t>
      </w:r>
    </w:p>
    <w:p>
      <w:pPr>
        <w:spacing w:line="480" w:lineRule="auto" w:after="0"/>
      </w:pPr>
      <w:r>
        <w:rPr>
          <w:rFonts w:ascii="Times New Roman" w:hAnsi="Times New Roman"/>
          <w:sz w:val="24"/>
        </w:rPr>
        <w:t>All data extracted for this review are presented in the manuscript and supporting information files.</w:t>
      </w:r>
    </w:p>
    <w:p>
      <w:pPr>
        <w:spacing w:line="480" w:lineRule="auto" w:after="0"/>
      </w:pPr>
      <w:r>
        <w:rPr>
          <w:rFonts w:ascii="Times New Roman" w:hAnsi="Times New Roman"/>
          <w:sz w:val="24"/>
        </w:rPr>
        <w:t>[To be completed.]</w:t>
      </w:r>
    </w:p>
    <w:p>
      <w:pPr>
        <w:spacing w:line="480" w:lineRule="auto" w:after="0"/>
      </w:pPr>
      <w:r>
        <w:rPr>
          <w:rFonts w:ascii="Times New Roman" w:hAnsi="Times New Roman"/>
          <w:sz w:val="24"/>
        </w:rPr>
        <w:t>The authors have declared that no competing interests exist.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