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Statement — Checklist of Items for Reports of Cross-Sectional Studies</w:t>
      </w:r>
    </w:p>
    <w:p>
      <w:r>
        <w:rPr>
          <w:i/>
        </w:rPr>
        <w:t>Applied to: "Network Exclusion and State Collapse: From Maritime Isolation to Technological Access Denial in the Long Run of History"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37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STROBE Recommendation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Reported in</w:t>
            </w:r>
          </w:p>
        </w:tc>
        <w:tc>
          <w:tcPr>
            <w:tcW w:type="dxa" w:w="2948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Comment / How Addressed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Indicate the study's design with a commonly used term in the title or the abstract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Title page; Abstract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Title indicates scope ("in the Long Run of History"); Abstract describes comparative historical design (N=96 polities, six eras)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Provide in the abstract an informative and balanced summary of what was done and what was found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Abstract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Abstract reports methods (Fisher test, logistic regression, bootstrap), key results (p=0.020, OR=1.774), and interpretation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Background/rationale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1 (Introduction)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Reviews literature on trade openness and state survival; identifies gap in treatment of involuntary isolation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Objectives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1 (Introduction), ¶3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Three contributions stated: (1) construct comparative dataset, (2) introduce technical network exclusion concept, (3) conduct sensitivity analysis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Study design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 (Data and Classification)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Cross-sectional comparative design with 96 polities; variables defined; classification framework presented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Six eras from antiquity to contemporary; each polity assigned period of existence; full details in Table S1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6(a)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Polities selected from standard reference works (Findlay &amp; O'Rourke 2007; Kennedy 1987; Turchin 2009); inclusion criteria: identifiable dominant strategy and outcome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Variables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2.1, 2.2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Outcome: overtaken/disrupted/survived; Exposure: closure type (5 categories); Covariates: era, geographic barrier, external threat, institutional quality, tech position, regime duration, external patron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Data sources/measurement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2.1; Table S1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Coding based on historical reference works; each polity's turning-point event documented in Table S1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3; Section 6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Sensitivity analysis with 6 scenarios (3 reclassification × 2 disrupted assignment) to test coding robustness; Discussion section addresses selection bias and survivor bias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Study size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N=96 polities from comprehensive survey of historical polities across six eras; not sample-based but census of major historical entities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Quantitative variables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Binary outcome (overtaken vs. survived) constructed from 3-class outcome; two approaches for 'disrupted' category (as conquered / as survived); continuous covariates described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all statistical methods, including those used to control for confounding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Fisher's exact test (one-sided); multivariate logistic regression with 7 covariates; bootstrap validation (5,000 iterations)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methods used to examine subgroups and interactions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Subgroup analysis by closure type (5 categories); cross-tabulation of conquest rates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12(c)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missing data were addressed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Complete-case dataset; no missing values by design (all variables coded for all 96 polities)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12(d)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If applicable, describe analytical methods taking account of sampling strategy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Census of historical polities, not probability sample; acknowledged in Discussion as limitation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12(e)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sensitivity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Six-scenario sensitivity analysis: 3 reclassification levels (baseline, +5 strong, +7 all) × 2 disrupted-outcome assignments (as conquered, as survived)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numbers of individuals at each stage of study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2.1; Section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N=96 polities; breakdown by outcome (overtaken/disrupted/survived), by dominant strategy (stock/flow), by closure type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Descriptive data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characteristics of study participants and information on exposures and potential confounders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2; Table 1; Table S1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Table 1 lists 7 reclassification candidates with rationale; Table S1 provides full dataset with all variables for all 96 polities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Outcome data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4; Table 2; Fig. 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Conquest rates by closure status across all 6 scenarios; Fisher p-values; relative risks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unadjusted estimates and, if applicable, confounder-adjusted estimates and their precision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4; Section 5; Table 2; Table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Unadjusted: Fisher p-values and conquest rate comparisons; Adjusted: multivariate logistic regression ORs with 95% CIs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category boundaries when continuous variables were categorized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Era categories defined (ancient/medieval/early modern/modern/20th century/contemporary); closure types defined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16(c)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If relevant, consider translating estimates of relative risk into absolute risk for a meaningful time period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Absolute conquest rates reported for each group (e.g., 86.4% network closure vs. 60.8% no closure)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Other analyses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other analyses done—e.g., analyses of subgroups and interactions, and sensitivity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5; Fig. 3; Fig.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Full sensitivity analysis across 6 scenarios; subgroup analysis by closure type; bootstrap OR validation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Key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6.1–6.2 (Discussion)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Technology flow disruption as mechanism (6.1); dose–response gradient; first contact and civilizational divergence (6.2); OR stability (6.4)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6.5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Small-sample (N=96); retrospective coding subjectivity; non-independence of sequential polities; disrupted-category ambiguity; speculative modern extension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a cautious overall interpretation of results considering objectives, limitations, multiplicity of analyses, and results from similar studies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6.1–6.3; Section 7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Technology flow disruption mechanism; extension to modern technological access exclusion (AI, semiconductors); cautious framing of forward-looking implications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Generalisability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6.3; Section 6.5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Generalisation to modern technological exclusion discussed (6.3); limitations of extrapolation acknowledged (6.5); limited to major historical polities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Funding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the source of funding and the role of the funders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Statements and Declarations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No external funding received</w:t>
            </w:r>
          </w:p>
        </w:tc>
      </w:tr>
    </w:tbl>
    <w:p/>
    <w:p>
      <w:r>
        <w:rPr>
          <w:sz w:val="16"/>
        </w:rPr>
        <w:t xml:space="preserve">Reference: von Elm E, Altman DG, Egger M, Pocock SJ, Gøtzsche PC, Vandenbroucke JP; STROBE Initiative. The Strengthening the Reporting of Observational Studies in Epidemiology (STROBE) statement: guidelines for reporting observational studies. </w:t>
      </w:r>
      <w:r>
        <w:rPr>
          <w:i/>
          <w:sz w:val="16"/>
        </w:rPr>
        <w:t>Lancet</w:t>
      </w:r>
      <w:r>
        <w:rPr>
          <w:sz w:val="16"/>
        </w:rPr>
        <w:t>. 2007;370(9596):1453–1457.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