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r>
        <w:rPr>
          <w:rFonts w:ascii="Arial" w:hAnsi="Arial"/>
          <w:b w:val="0"/>
          <w:i w:val="0"/>
          <w:sz w:val="22"/>
        </w:rPr>
        <w:t>[Date]</w:t>
      </w:r>
    </w:p>
    <w:p>
      <w:pPr>
        <w:spacing w:after="40"/>
      </w:pPr>
      <w:r>
        <w:rPr>
          <w:rFonts w:ascii="Arial" w:hAnsi="Arial"/>
          <w:b w:val="0"/>
          <w:i w:val="0"/>
          <w:sz w:val="22"/>
        </w:rPr>
        <w:t>The Editor</w:t>
      </w:r>
    </w:p>
    <w:p>
      <w:pPr>
        <w:spacing w:after="40"/>
      </w:pPr>
      <w:r>
        <w:rPr>
          <w:rFonts w:ascii="Arial" w:hAnsi="Arial"/>
          <w:b w:val="0"/>
          <w:i w:val="0"/>
          <w:sz w:val="22"/>
        </w:rPr>
        <w:t>The BMJ</w:t>
      </w:r>
    </w:p>
    <w:p>
      <w:pPr>
        <w:spacing w:after="40"/>
      </w:pPr>
      <w:r>
        <w:rPr>
          <w:rFonts w:ascii="Arial" w:hAnsi="Arial"/>
          <w:b w:val="0"/>
          <w:i w:val="0"/>
          <w:sz w:val="22"/>
        </w:rPr>
        <w:t>BMA House, Tavistock Square</w:t>
      </w:r>
    </w:p>
    <w:p>
      <w:pPr>
        <w:spacing w:after="40"/>
      </w:pPr>
      <w:r>
        <w:rPr>
          <w:rFonts w:ascii="Arial" w:hAnsi="Arial"/>
          <w:b w:val="0"/>
          <w:i w:val="0"/>
          <w:sz w:val="22"/>
        </w:rPr>
        <w:t>London WC1H 9JR</w:t>
      </w:r>
    </w:p>
    <w:p>
      <w:pPr>
        <w:spacing w:after="240"/>
      </w:pPr>
      <w:r>
        <w:rPr>
          <w:rFonts w:ascii="Arial" w:hAnsi="Arial"/>
          <w:b w:val="0"/>
          <w:i w:val="0"/>
          <w:sz w:val="22"/>
        </w:rPr>
        <w:t>United Kingdom</w:t>
      </w:r>
    </w:p>
    <w:p>
      <w:pPr>
        <w:spacing w:after="240"/>
      </w:pPr>
      <w:r>
        <w:rPr>
          <w:rFonts w:ascii="Arial" w:hAnsi="Arial"/>
          <w:b w:val="0"/>
          <w:i w:val="0"/>
          <w:sz w:val="22"/>
        </w:rPr>
        <w:t>Dear Editor,</w:t>
      </w:r>
    </w:p>
    <w:p>
      <w:pPr>
        <w:spacing w:after="240"/>
      </w:pPr>
      <w:r>
        <w:rPr>
          <w:rFonts w:ascii="Arial" w:hAnsi="Arial"/>
          <w:b/>
          <w:i w:val="0"/>
          <w:sz w:val="22"/>
        </w:rPr>
        <w:t>Re: Submission of original research article — "Regional variation in anaesthesia practice across 335 secondary medical areas in Japan: a cross-sectional analysis of national claims data"</w:t>
      </w:r>
    </w:p>
    <w:p>
      <w:pPr>
        <w:spacing w:after="120"/>
      </w:pPr>
      <w:r>
        <w:rPr>
          <w:rFonts w:ascii="Arial" w:hAnsi="Arial"/>
          <w:b w:val="0"/>
          <w:i w:val="0"/>
          <w:sz w:val="22"/>
        </w:rPr>
        <w:t>We submit the above manuscript for consideration as an original research article in The BMJ. This work has not been published previously, is not under consideration elsewhere, and all authors have approved the submitted version.</w:t>
      </w:r>
    </w:p>
    <w:p>
      <w:pPr>
        <w:spacing w:after="120"/>
      </w:pPr>
      <w:r>
        <w:rPr>
          <w:rFonts w:ascii="Arial" w:hAnsi="Arial"/>
          <w:b w:val="0"/>
          <w:i w:val="0"/>
          <w:sz w:val="22"/>
        </w:rPr>
        <w:t>Japan’s universal health insurance system was designed to ensure equitable access to healthcare regardless of geography. Yet our analysis of publicly available standardised claim ratio data across all 335 secondary medical areas reveals striking regional variation in anaesthesia practice: coefficients of variation of 54.6% for general anaesthesia, 83.2% for epidural anaesthesia, and 64.9% for combined general–epidural technique.</w:t>
      </w:r>
    </w:p>
    <w:p>
      <w:pPr>
        <w:spacing w:after="120"/>
      </w:pPr>
      <w:r>
        <w:rPr>
          <w:rFonts w:ascii="Arial" w:hAnsi="Arial"/>
          <w:b w:val="0"/>
          <w:i w:val="0"/>
          <w:sz w:val="22"/>
        </w:rPr>
        <w:t>A distinctive feature of the Japanese system is mandatory prefectural insurance auditing, which raises the question of whether observed variation is genuine or an administrative artefact. We address this through three independent sensitivity analyses—within-prefecture variance decomposition, cross-code correlation analysis, and quantitative audit impact estimation—all of which converge on the conclusion that audit variation explains, at most, a trivial fraction of observed differences. The dominant determinant is university hospital proximity, which alone explains 38.5% of all variation in general anaesthesia volume (Cohen’s d=1.78)—a remarkably large effect for a single binary predictor.</w:t>
      </w:r>
    </w:p>
    <w:p>
      <w:pPr>
        <w:spacing w:after="120"/>
      </w:pPr>
      <w:r>
        <w:rPr>
          <w:rFonts w:ascii="Arial" w:hAnsi="Arial"/>
          <w:b w:val="0"/>
          <w:i w:val="0"/>
          <w:sz w:val="22"/>
        </w:rPr>
        <w:t>We believe this study is of particular interest to The BMJ’s readership for three reasons:</w:t>
      </w:r>
    </w:p>
    <w:p>
      <w:pPr>
        <w:spacing w:after="120"/>
      </w:pPr>
      <w:r>
        <w:rPr>
          <w:rFonts w:ascii="Arial" w:hAnsi="Arial"/>
          <w:b w:val="0"/>
          <w:i w:val="0"/>
          <w:sz w:val="22"/>
        </w:rPr>
        <w:t>1. It provides a novel sensitivity analysis framework that distinguishes administrative from clinical sources of practice variation—a methodological contribution applicable beyond anaesthesia and beyond Japan.</w:t>
      </w:r>
    </w:p>
    <w:p>
      <w:pPr>
        <w:spacing w:after="120"/>
      </w:pPr>
      <w:r>
        <w:rPr>
          <w:rFonts w:ascii="Arial" w:hAnsi="Arial"/>
          <w:b w:val="0"/>
          <w:i w:val="0"/>
          <w:sz w:val="22"/>
        </w:rPr>
        <w:t>2. The finding that combined general–epidural anaesthesia (which may confer oncological benefit) shows 1.73-fold variation between university and non-university hospital areas identifies a potentially modifiable source of health inequality within a universal insurance system.</w:t>
      </w:r>
    </w:p>
    <w:p>
      <w:pPr>
        <w:spacing w:after="120"/>
      </w:pPr>
      <w:r>
        <w:rPr>
          <w:rFonts w:ascii="Arial" w:hAnsi="Arial"/>
          <w:b w:val="0"/>
          <w:i w:val="0"/>
          <w:sz w:val="22"/>
        </w:rPr>
        <w:t>3. The study exploits Japan’s unique institutional structure—uniform fee schedule with prefectural audit committees—as a natural experiment, offering insights relevant to health systems globally that grapple with distinguishing genuine practice variation from administrative noise in claims data.</w:t>
      </w:r>
    </w:p>
    <w:p>
      <w:pPr>
        <w:spacing w:after="120"/>
      </w:pPr>
      <w:r>
        <w:rPr>
          <w:rFonts w:ascii="Arial" w:hAnsi="Arial"/>
          <w:b w:val="0"/>
          <w:i w:val="0"/>
          <w:sz w:val="22"/>
        </w:rPr>
        <w:t>The manuscript adheres to STROBE reporting guidelines for cross-sectional studies. All data used are publicly available, and the study uses aggregate data only, with no individual-level patient information. Ethics committee approval was not required under Japan’s Ethical Guidelines for Medical and Biological Research Involving Human Subjects (2021 revision).</w:t>
      </w:r>
    </w:p>
    <w:p>
      <w:pPr>
        <w:spacing w:after="120"/>
      </w:pPr>
      <w:r>
        <w:rPr>
          <w:rFonts w:ascii="Arial" w:hAnsi="Arial"/>
          <w:b w:val="0"/>
          <w:i w:val="0"/>
          <w:sz w:val="22"/>
        </w:rPr>
        <w:t>All authors meet the ICMJE criteria for authorship and have no conflicts of interest to declare. The manuscript contains approximately 4,000 words, 2 tables, and 9 figures (6 two-dimensional choropleth maps and 3 three-dimensional extruded maps).</w:t>
      </w:r>
    </w:p>
    <w:p>
      <w:pPr>
        <w:spacing w:after="120"/>
      </w:pPr>
      <w:r>
        <w:rPr>
          <w:rFonts w:ascii="Arial" w:hAnsi="Arial"/>
          <w:b w:val="0"/>
          <w:i w:val="0"/>
          <w:sz w:val="22"/>
        </w:rPr>
        <w:t>We confirm that this manuscript has not been published elsewhere and is not under consideration by any other journal. All authors have read and approved the final manuscript.</w:t>
      </w:r>
    </w:p>
    <w:p>
      <w:pPr>
        <w:spacing w:after="360"/>
      </w:pPr>
      <w:r>
        <w:rPr>
          <w:rFonts w:ascii="Arial" w:hAnsi="Arial"/>
          <w:b w:val="0"/>
          <w:i w:val="0"/>
          <w:sz w:val="22"/>
        </w:rPr>
        <w:t>Thank you for considering this submission. We look forward to hearing from you.</w:t>
      </w:r>
    </w:p>
    <w:p>
      <w:pPr>
        <w:spacing w:after="360"/>
      </w:pPr>
      <w:r>
        <w:rPr>
          <w:rFonts w:ascii="Arial" w:hAnsi="Arial"/>
          <w:b w:val="0"/>
          <w:i w:val="0"/>
          <w:sz w:val="22"/>
        </w:rPr>
        <w:t>Yours sincerely,</w:t>
      </w:r>
    </w:p>
    <w:p>
      <w:pPr>
        <w:spacing w:after="40"/>
      </w:pPr>
      <w:r>
        <w:rPr>
          <w:rFonts w:ascii="Arial" w:hAnsi="Arial"/>
          <w:b w:val="0"/>
          <w:i w:val="0"/>
          <w:sz w:val="22"/>
        </w:rPr>
        <w:t>[Corresponding author name]</w:t>
      </w:r>
    </w:p>
    <w:p>
      <w:pPr>
        <w:spacing w:after="40"/>
      </w:pPr>
      <w:r>
        <w:rPr>
          <w:rFonts w:ascii="Arial" w:hAnsi="Arial"/>
          <w:b w:val="0"/>
          <w:i w:val="0"/>
          <w:sz w:val="22"/>
        </w:rPr>
        <w:t>[Title, Department]</w:t>
      </w:r>
    </w:p>
    <w:p>
      <w:pPr>
        <w:spacing w:after="40"/>
      </w:pPr>
      <w:r>
        <w:rPr>
          <w:rFonts w:ascii="Arial" w:hAnsi="Arial"/>
          <w:b w:val="0"/>
          <w:i w:val="0"/>
          <w:sz w:val="22"/>
        </w:rPr>
        <w:t>[Institution]</w:t>
      </w:r>
    </w:p>
    <w:p>
      <w:pPr>
        <w:spacing w:after="40"/>
      </w:pPr>
      <w:r>
        <w:rPr>
          <w:rFonts w:ascii="Arial" w:hAnsi="Arial"/>
          <w:b w:val="0"/>
          <w:i w:val="0"/>
          <w:sz w:val="22"/>
        </w:rPr>
        <w:t>[Address]</w:t>
      </w:r>
    </w:p>
    <w:p>
      <w:pPr>
        <w:spacing w:after="40"/>
      </w:pPr>
      <w:r>
        <w:rPr>
          <w:rFonts w:ascii="Arial" w:hAnsi="Arial"/>
          <w:b w:val="0"/>
          <w:i w:val="0"/>
          <w:sz w:val="22"/>
        </w:rPr>
        <w:t>[Email]</w:t>
      </w:r>
    </w:p>
    <w:p>
      <w:pPr>
        <w:spacing w:after="40"/>
      </w:pPr>
      <w:r>
        <w:rPr>
          <w:rFonts w:ascii="Arial" w:hAnsi="Arial"/>
          <w:b w:val="0"/>
          <w:i w:val="0"/>
          <w:sz w:val="22"/>
        </w:rPr>
        <w:t>[Telephone]</w:t>
      </w:r>
    </w:p>
    <w:p>
      <w:pPr>
        <w:spacing w:after="40"/>
      </w:pPr>
      <w:r>
        <w:rPr>
          <w:rFonts w:ascii="Arial" w:hAnsi="Arial"/>
          <w:b w:val="0"/>
          <w:i/>
          <w:sz w:val="22"/>
        </w:rPr>
        <w:t>On behalf of all co-authors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