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val="0"/>
          <w:i w:val="0"/>
          <w:sz w:val="22"/>
        </w:rPr>
        <w:t>[Date]</w:t>
      </w:r>
    </w:p>
    <w:p/>
    <w:p>
      <w:pPr>
        <w:spacing w:after="120"/>
      </w:pPr>
      <w:r>
        <w:rPr>
          <w:rFonts w:ascii="Arial" w:hAnsi="Arial"/>
          <w:b w:val="0"/>
          <w:i w:val="0"/>
          <w:sz w:val="22"/>
        </w:rPr>
        <w:t>Editor-in-Chief</w:t>
      </w:r>
    </w:p>
    <w:p>
      <w:pPr>
        <w:spacing w:after="120"/>
      </w:pPr>
      <w:r>
        <w:rPr>
          <w:rFonts w:ascii="Arial" w:hAnsi="Arial"/>
          <w:b w:val="0"/>
          <w:i w:val="0"/>
          <w:sz w:val="22"/>
        </w:rPr>
        <w:t>Regional Anesthesia &amp; Pain Medicine</w:t>
      </w:r>
    </w:p>
    <w:p>
      <w:pPr>
        <w:spacing w:after="120"/>
      </w:pPr>
      <w:r>
        <w:rPr>
          <w:rFonts w:ascii="Arial" w:hAnsi="Arial"/>
          <w:b w:val="0"/>
          <w:i w:val="0"/>
          <w:sz w:val="22"/>
        </w:rPr>
        <w:t>BMJ Publishing Group</w:t>
      </w:r>
    </w:p>
    <w:p/>
    <w:p>
      <w:pPr>
        <w:spacing w:after="120"/>
      </w:pPr>
      <w:r>
        <w:rPr>
          <w:rFonts w:ascii="Arial" w:hAnsi="Arial"/>
          <w:b/>
          <w:i w:val="0"/>
          <w:sz w:val="22"/>
        </w:rPr>
        <w:t>Re: Submission of manuscript transferred from The BMJ (BMJ-2026-090550)</w:t>
      </w:r>
    </w:p>
    <w:p/>
    <w:p>
      <w:pPr>
        <w:spacing w:after="120"/>
      </w:pPr>
      <w:r>
        <w:rPr>
          <w:rFonts w:ascii="Arial" w:hAnsi="Arial"/>
          <w:b w:val="0"/>
          <w:i w:val="0"/>
          <w:sz w:val="22"/>
        </w:rPr>
        <w:t>Dear Editor,</w:t>
      </w:r>
    </w:p>
    <w:p/>
    <w:p>
      <w:pPr>
        <w:spacing w:after="120"/>
      </w:pPr>
      <w:r>
        <w:rPr>
          <w:rFonts w:ascii="Arial" w:hAnsi="Arial"/>
          <w:b w:val="0"/>
          <w:i w:val="0"/>
          <w:sz w:val="22"/>
        </w:rPr>
        <w:t>We are pleased to submit our manuscript entitled "Regional variation in anesthesia practice across 335 secondary medical areas in Japan: a cross-sectional analysis of national claims data" for consideration for publication in Regional Anesthesia &amp; Pain Medicine. This manuscript was originally submitted to The BMJ (manuscript ID: BMJ-2026-090550) and has been transferred to your journal at the recommendation of the BMJ editorial team, who identified RAPM as the most appropriate venue for this work.</w:t>
      </w:r>
    </w:p>
    <w:p>
      <w:pPr>
        <w:spacing w:after="120"/>
      </w:pPr>
      <w:r>
        <w:rPr>
          <w:rFonts w:ascii="Arial" w:hAnsi="Arial"/>
          <w:b w:val="0"/>
          <w:i w:val="0"/>
          <w:sz w:val="22"/>
        </w:rPr>
        <w:t>Using publicly available standardized claim ratios from Japan’s National Database of Health Insurance Claims, we quantify regional variation in anesthesia practice across all 335 secondary medical areas—the finest geographic resolution available for the entire Japanese population. Our study addresses a question of direct relevance to the RAPM readership: does geographic variation in anesthesia technique selection reflect genuine differences in clinical practice, or is it an artifact of administrative mechanisms such as insurance auditing?</w:t>
      </w:r>
    </w:p>
    <w:p>
      <w:pPr>
        <w:spacing w:after="120"/>
      </w:pPr>
      <w:r>
        <w:rPr>
          <w:rFonts w:ascii="Arial" w:hAnsi="Arial"/>
          <w:b w:val="0"/>
          <w:i w:val="0"/>
          <w:sz w:val="22"/>
        </w:rPr>
        <w:t>Three independent sensitivity analyses converge on the conclusion that regional variation is structural rather than an audit artifact. The dominant determinant is university hospital proximity, which alone explains 38.5% of variance in general anesthesia volume (Cohen’s d = 1.78)—an effect present in all 47 prefectures. Of particular relevance to your readership, combined general–epidural anesthesia technique shows the greatest regional inequality (CV = 64.9%), with a 1.73-fold difference between university and non-university hospital areas. Given emerging evidence linking regional anesthesia techniques to improved oncologic outcomes, this variation may represent a modifiable source of health inequality.</w:t>
      </w:r>
    </w:p>
    <w:p>
      <w:pPr>
        <w:spacing w:after="120"/>
      </w:pPr>
      <w:r>
        <w:rPr>
          <w:rFonts w:ascii="Arial" w:hAnsi="Arial"/>
          <w:b w:val="0"/>
          <w:i w:val="0"/>
          <w:sz w:val="22"/>
        </w:rPr>
        <w:t>We believe this work is well suited to RAPM for several reasons:</w:t>
      </w:r>
    </w:p>
    <w:p>
      <w:pPr>
        <w:pStyle w:val="ListBullet"/>
      </w:pPr>
      <w:r>
        <w:t>It provides the first systematic, population-level analysis of anesthesia technique variation at a fine geographic scale in an East Asian universal insurance system, extending the practice variation literature beyond the Dartmouth Atlas tradition.</w:t>
      </w:r>
    </w:p>
    <w:p>
      <w:pPr>
        <w:pStyle w:val="ListBullet"/>
      </w:pPr>
      <w:r>
        <w:t>The sensitivity analysis framework we develop—within-prefecture variance decomposition, cross-code correlation, and quantitative audit impact estimation—is novel and applicable to investigating practice variation in any procedure under universal insurance systems.</w:t>
      </w:r>
    </w:p>
    <w:p>
      <w:pPr>
        <w:pStyle w:val="ListBullet"/>
      </w:pPr>
      <w:r>
        <w:t>The finding that combined GA–epidural technique shows the greatest geographic inequality is directly relevant to the ongoing debate in RAPM about regional anesthesia and cancer outcomes.</w:t>
      </w:r>
    </w:p>
    <w:p>
      <w:pPr>
        <w:pStyle w:val="ListBullet"/>
      </w:pPr>
      <w:r>
        <w:t>The study is timely: the 2026 Japanese fee schedule revision renamed the general anesthesia code to reflect supraglottic airway device use, and our findings provide baseline data for evaluating the impact of this policy change.</w:t>
      </w:r>
    </w:p>
    <w:p/>
    <w:p>
      <w:pPr>
        <w:spacing w:after="120"/>
      </w:pPr>
      <w:r>
        <w:rPr>
          <w:rFonts w:ascii="Arial" w:hAnsi="Arial"/>
          <w:b w:val="0"/>
          <w:i w:val="0"/>
          <w:sz w:val="22"/>
        </w:rPr>
        <w:t>The manuscript reports an ecological cross-sectional study using exclusively publicly available aggregate data. No individual patient data were accessed, and ethics committee approval was not required under Japanese ethical guidelines. The study adheres to STROBE reporting guidelines, and a completed checklist is included.</w:t>
      </w:r>
    </w:p>
    <w:p>
      <w:pPr>
        <w:spacing w:after="120"/>
      </w:pPr>
      <w:r>
        <w:rPr>
          <w:rFonts w:ascii="Arial" w:hAnsi="Arial"/>
          <w:b w:val="0"/>
          <w:i w:val="0"/>
          <w:sz w:val="22"/>
        </w:rPr>
        <w:t>This manuscript has not been published previously and is not under consideration elsewhere. All authors have approved the submitted version and agree to be accountable for all aspects of the work.</w:t>
      </w:r>
    </w:p>
    <w:p>
      <w:pPr>
        <w:spacing w:after="120"/>
      </w:pPr>
      <w:r>
        <w:rPr>
          <w:rFonts w:ascii="Arial" w:hAnsi="Arial"/>
          <w:b w:val="0"/>
          <w:i w:val="0"/>
          <w:sz w:val="22"/>
        </w:rPr>
        <w:t>We appreciate the opportunity to have this work considered by Regional Anesthesia &amp; Pain Medicine and look forward to your editorial decision.</w:t>
      </w:r>
    </w:p>
    <w:p/>
    <w:p>
      <w:pPr>
        <w:spacing w:after="120"/>
      </w:pPr>
      <w:r>
        <w:rPr>
          <w:rFonts w:ascii="Arial" w:hAnsi="Arial"/>
          <w:b w:val="0"/>
          <w:i w:val="0"/>
          <w:sz w:val="22"/>
        </w:rPr>
        <w:t>Sincerely,</w:t>
      </w:r>
    </w:p>
    <w:p/>
    <w:p>
      <w:pPr>
        <w:spacing w:after="120"/>
      </w:pPr>
      <w:r>
        <w:rPr>
          <w:rFonts w:ascii="Arial" w:hAnsi="Arial"/>
          <w:b w:val="0"/>
          <w:i w:val="0"/>
          <w:sz w:val="22"/>
        </w:rPr>
        <w:t>[Corresponding author name]</w:t>
      </w:r>
    </w:p>
    <w:p>
      <w:pPr>
        <w:spacing w:after="120"/>
      </w:pPr>
      <w:r>
        <w:rPr>
          <w:rFonts w:ascii="Arial" w:hAnsi="Arial"/>
          <w:b w:val="0"/>
          <w:i w:val="0"/>
          <w:sz w:val="22"/>
        </w:rPr>
        <w:t>[Affiliation]</w:t>
      </w:r>
    </w:p>
    <w:p>
      <w:pPr>
        <w:spacing w:after="120"/>
      </w:pPr>
      <w:r>
        <w:rPr>
          <w:rFonts w:ascii="Arial" w:hAnsi="Arial"/>
          <w:b w:val="0"/>
          <w:i w:val="0"/>
          <w:sz w:val="22"/>
        </w:rPr>
        <w:t>[Email address]</w:t>
      </w:r>
    </w:p>
    <w:p>
      <w:pPr>
        <w:spacing w:after="120"/>
      </w:pPr>
      <w:r>
        <w:rPr>
          <w:rFonts w:ascii="Arial" w:hAnsi="Arial"/>
          <w:b w:val="0"/>
          <w:i w:val="0"/>
          <w:sz w:val="22"/>
        </w:rPr>
        <w:t>[ORCID]</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