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Times New Roman" w:hAnsi="Times New Roman"/>
          <w:b/>
          <w:sz w:val="22"/>
        </w:rPr>
        <w:t>Article Type</w:t>
      </w:r>
    </w:p>
    <w:p>
      <w:r>
        <w:rPr>
          <w:rFonts w:ascii="Times New Roman" w:hAnsi="Times New Roman"/>
          <w:b w:val="0"/>
          <w:i w:val="0"/>
          <w:sz w:val="22"/>
        </w:rPr>
        <w:t>Academic paper</w:t>
      </w:r>
    </w:p>
    <w:p>
      <w:pPr>
        <w:spacing w:before="360" w:after="120"/>
      </w:pPr>
      <w:r>
        <w:rPr>
          <w:rFonts w:ascii="Times New Roman" w:hAnsi="Times New Roman"/>
          <w:b/>
          <w:sz w:val="22"/>
        </w:rPr>
        <w:t>TITLE</w:t>
      </w:r>
    </w:p>
    <w:p>
      <w:r>
        <w:rPr>
          <w:rFonts w:ascii="Times New Roman" w:hAnsi="Times New Roman"/>
          <w:b/>
          <w:i w:val="0"/>
          <w:sz w:val="22"/>
        </w:rPr>
        <w:t>A novel flood control framework integrating planned-release hydropower with inter-watershed groundwater management: A simplified feasibility analysis for the Oda River–Takahashi River basin</w:t>
      </w:r>
    </w:p>
    <w:p>
      <w:r>
        <w:rPr>
          <w:rFonts w:ascii="Times New Roman" w:hAnsi="Times New Roman"/>
          <w:i/>
          <w:sz w:val="20"/>
        </w:rPr>
        <w:t>（和文題目）計画放水発電と隣接水系地下水管理を統合した新たな洪水制御フレームワークの提案　― 小田川–高梁川流域を対象とした簡易フィージビリティ分析 ―</w:t>
      </w:r>
    </w:p>
    <w:p>
      <w:pPr>
        <w:spacing w:before="360" w:after="120"/>
      </w:pPr>
      <w:r>
        <w:rPr>
          <w:rFonts w:ascii="Times New Roman" w:hAnsi="Times New Roman"/>
          <w:b/>
          <w:sz w:val="22"/>
        </w:rPr>
        <w:t>AUTHORS</w:t>
      </w:r>
    </w:p>
    <w:p>
      <w:r>
        <w:rPr>
          <w:rFonts w:ascii="Times New Roman" w:hAnsi="Times New Roman"/>
          <w:b w:val="0"/>
          <w:i w:val="0"/>
          <w:color w:val="FF0000"/>
          <w:sz w:val="22"/>
        </w:rPr>
        <w:t>（著者名）1</w:t>
      </w:r>
    </w:p>
    <w:p>
      <w:pPr>
        <w:spacing w:before="120"/>
      </w:pPr>
    </w:p>
    <w:p>
      <w:r>
        <w:rPr>
          <w:rFonts w:ascii="Times New Roman" w:hAnsi="Times New Roman"/>
          <w:b w:val="0"/>
          <w:i w:val="0"/>
          <w:color w:val="FF0000"/>
          <w:sz w:val="22"/>
        </w:rPr>
        <w:t>1（JSCE会員種別）, （職位）, （所属）</w:t>
        <w:br/>
        <w:t xml:space="preserve">  （住所）</w:t>
        <w:br/>
        <w:t xml:space="preserve">  E-mail: （メールアドレス） (Corresponding Author)</w:t>
      </w:r>
    </w:p>
    <w:p>
      <w:pPr>
        <w:spacing w:before="360" w:after="120"/>
      </w:pPr>
      <w:r>
        <w:rPr>
          <w:rFonts w:ascii="Times New Roman" w:hAnsi="Times New Roman"/>
          <w:b/>
          <w:sz w:val="22"/>
        </w:rPr>
        <w:t>CONFLICTS OF INTEREST</w:t>
      </w:r>
    </w:p>
    <w:p>
      <w:r>
        <w:rPr>
          <w:rFonts w:ascii="Times New Roman" w:hAnsi="Times New Roman"/>
          <w:b w:val="0"/>
          <w:i w:val="0"/>
          <w:sz w:val="22"/>
        </w:rPr>
        <w:t>The authors declare that there are no conflicts of interest.</w:t>
      </w:r>
    </w:p>
    <w:p>
      <w:pPr>
        <w:spacing w:before="360" w:after="120"/>
      </w:pPr>
      <w:r>
        <w:rPr>
          <w:rFonts w:ascii="Times New Roman" w:hAnsi="Times New Roman"/>
          <w:b/>
          <w:sz w:val="22"/>
        </w:rPr>
        <w:t>SOURCES OF FUNDING</w:t>
      </w:r>
    </w:p>
    <w:p>
      <w:r>
        <w:rPr>
          <w:rFonts w:ascii="Times New Roman" w:hAnsi="Times New Roman"/>
          <w:b w:val="0"/>
          <w:i w:val="0"/>
          <w:sz w:val="22"/>
        </w:rPr>
        <w:t>This research received no specific grant from any funding agency in the public, commercial or not-for-profit sectors.</w:t>
      </w:r>
    </w:p>
    <w:p>
      <w:pPr>
        <w:spacing w:before="360" w:after="120"/>
      </w:pPr>
      <w:r>
        <w:rPr>
          <w:rFonts w:ascii="Times New Roman" w:hAnsi="Times New Roman"/>
          <w:b/>
          <w:sz w:val="22"/>
        </w:rPr>
        <w:t>AUTHOR CONTRIBUTIONS</w:t>
      </w:r>
    </w:p>
    <w:p>
      <w:r>
        <w:rPr>
          <w:rFonts w:ascii="Times New Roman" w:hAnsi="Times New Roman"/>
          <w:b w:val="0"/>
          <w:i w:val="0"/>
          <w:color w:val="FF0000"/>
          <w:sz w:val="22"/>
        </w:rPr>
        <w:t>（著者名） was responsible for the overall study concept, simulation design, data analysis, and manuscript preparation.</w:t>
      </w:r>
    </w:p>
    <w:p>
      <w:pPr>
        <w:spacing w:before="360" w:after="120"/>
      </w:pPr>
      <w:r>
        <w:rPr>
          <w:rFonts w:ascii="Times New Roman" w:hAnsi="Times New Roman"/>
          <w:b/>
          <w:sz w:val="22"/>
        </w:rPr>
        <w:t>DISCLOSURE OF RELATED PUBLICATIONS</w:t>
      </w:r>
    </w:p>
    <w:p>
      <w:r>
        <w:rPr>
          <w:rFonts w:ascii="Times New Roman" w:hAnsi="Times New Roman"/>
          <w:b w:val="0"/>
          <w:i w:val="0"/>
          <w:sz w:val="22"/>
        </w:rPr>
        <w:t>A related English-language manuscript (Commentary format) is being prepared for submission to Nature Water. The English manuscript focuses on international water governance and transboundary river management policy implications, and does not contain the detailed quantitative analysis of the Oda River–Takahashi River and Arakawa River basins presented in this paper. The two manuscripts target different readerships and have distinct content structures with no substantive overlap.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