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32"/>
        </w:rPr>
        <w:t>Harnessing flood energy to create subsurface storage:</w:t>
      </w:r>
    </w:p>
    <w:p>
      <w:pPr>
        <w:jc w:val="left"/>
      </w:pPr>
      <w:r>
        <w:rPr>
          <w:rFonts w:ascii="Times New Roman" w:hAnsi="Times New Roman"/>
          <w:b/>
          <w:sz w:val="32"/>
        </w:rPr>
        <w:t>A hydropower-groundwater framework for integrated flood control</w:t>
      </w:r>
    </w:p>
    <w:p>
      <w:pPr>
        <w:spacing w:before="480"/>
      </w:pPr>
      <w:r>
        <w:rPr>
          <w:b/>
          <w:sz w:val="24"/>
        </w:rPr>
        <w:t>[Author Names]</w:t>
      </w:r>
    </w:p>
    <w:p>
      <w:r>
        <w:rPr>
          <w:i/>
          <w:sz w:val="22"/>
        </w:rPr>
        <w:t>[Affiliations]</w:t>
      </w:r>
    </w:p>
    <w:p>
      <w:pPr>
        <w:spacing w:before="240"/>
      </w:pPr>
      <w:r>
        <w:rPr>
          <w:sz w:val="22"/>
        </w:rPr>
        <w:t>Correspondence: [email]</w:t>
      </w:r>
    </w:p>
    <w:p>
      <w:pPr>
        <w:spacing w:before="360" w:after="120"/>
      </w:pPr>
      <w:r>
        <w:rPr>
          <w:rFonts w:ascii="Times New Roman" w:hAnsi="Times New Roman"/>
          <w:b/>
          <w:sz w:val="28"/>
        </w:rPr>
        <w:t>Abstract</w:t>
      </w:r>
    </w:p>
    <w:p>
      <w:pPr>
        <w:ind w:firstLine="0"/>
      </w:pPr>
      <w:r>
        <w:rPr>
          <w:rFonts w:ascii="Times New Roman" w:hAnsi="Times New Roman"/>
          <w:sz w:val="24"/>
        </w:rPr>
        <w:t>Conventional flood control relies on structural measures -- levees, dams, and floodways -- that expel excess water. We propose a paradigm shift: using the potential energy of planned dam releases to generate electricity that powers groundwater pumping in adjacent watersheds, proactively creating subsurface reception capacity before flood events. A feasibility analysis of the Oda-Takahashi River basin in Japan, site of catastrophic backwater flooding in 2018, demonstrates that hydropower from a 100 m head release (41.7 MW) can power groundwater pumping (3.7 MW, 9% of generation) to create aquifer storage absorbing 78% of observed flood volume. This framework exploits Japan's steep topography and established pumped-storage infrastructure, but its principles extend to transboundary river basins where unilateral flood mitigation within national borders is geopolitically valuable, and to arid regions where coupling flash-flood energy with aquifer recharge addresses both flood risk and water scarcity.</w:t>
      </w:r>
    </w:p>
    <w:p>
      <w:pPr>
        <w:spacing w:before="360" w:after="120"/>
      </w:pPr>
      <w:r>
        <w:rPr>
          <w:rFonts w:ascii="Times New Roman" w:hAnsi="Times New Roman"/>
          <w:b/>
          <w:sz w:val="28"/>
        </w:rPr>
        <w:t>The backwater problem</w:t>
      </w:r>
    </w:p>
    <w:p>
      <w:pPr>
        <w:ind w:firstLine="720"/>
      </w:pPr>
      <w:r>
        <w:rPr>
          <w:rFonts w:ascii="Times New Roman" w:hAnsi="Times New Roman"/>
          <w:sz w:val="24"/>
        </w:rPr>
        <w:t>When a mainstem river swells, it can block tributary discharge -- a phenomenon known as the backwater effect. This mechanism caused catastrophic flooding in Mabi, Okayama Prefecture, Japan, during the July 2018 Western Japan Heavy Rains: the Takahashi River's water level prevented the Oda River from draining, leading to levee breaches at five locations, inundating 8.28 km2 and claiming 51 lives</w:t>
      </w:r>
      <w:r>
        <w:rPr>
          <w:rFonts w:ascii="Times New Roman" w:hAnsi="Times New Roman"/>
          <w:sz w:val="20"/>
          <w:vertAlign w:val="superscript"/>
        </w:rPr>
        <w:t>1</w:t>
      </w:r>
      <w:r>
        <w:rPr>
          <w:rFonts w:ascii="Times New Roman" w:hAnsi="Times New Roman"/>
          <w:sz w:val="24"/>
        </w:rPr>
        <w:t>. Half a world away, the Yazoo River basin in Mississippi, USA, experienced 158 consecutive days above flood stage in 2019 as the Mississippi River's high water prevented tributary outflow</w:t>
      </w:r>
      <w:r>
        <w:rPr>
          <w:rFonts w:ascii="Times New Roman" w:hAnsi="Times New Roman"/>
          <w:sz w:val="20"/>
          <w:vertAlign w:val="superscript"/>
        </w:rPr>
        <w:t>2</w:t>
      </w:r>
      <w:r>
        <w:rPr>
          <w:rFonts w:ascii="Times New Roman" w:hAnsi="Times New Roman"/>
          <w:sz w:val="24"/>
        </w:rPr>
        <w:t>. These events share a common mechanism: the failure of one watershed to discharge into another.</w:t>
      </w:r>
    </w:p>
    <w:p>
      <w:pPr>
        <w:ind w:firstLine="720"/>
      </w:pPr>
      <w:r>
        <w:rPr>
          <w:rFonts w:ascii="Times New Roman" w:hAnsi="Times New Roman"/>
          <w:sz w:val="24"/>
        </w:rPr>
        <w:t>Current responses to backwater flooding are predominantly structural. Japan relocated the Oda-Takahashi confluence 4.6 km downstream (completed March 2024), achieving a 4.6 m water level reduction on the Oda River side</w:t>
      </w:r>
      <w:r>
        <w:rPr>
          <w:rFonts w:ascii="Times New Roman" w:hAnsi="Times New Roman"/>
          <w:sz w:val="20"/>
          <w:vertAlign w:val="superscript"/>
        </w:rPr>
        <w:t>3</w:t>
      </w:r>
      <w:r>
        <w:rPr>
          <w:rFonts w:ascii="Times New Roman" w:hAnsi="Times New Roman"/>
          <w:sz w:val="24"/>
        </w:rPr>
        <w:t>. The US has debated a pump station for the Yazoo Backwater area since 1941, stalled by environmental concerns</w:t>
      </w:r>
      <w:r>
        <w:rPr>
          <w:rFonts w:ascii="Times New Roman" w:hAnsi="Times New Roman"/>
          <w:sz w:val="20"/>
          <w:vertAlign w:val="superscript"/>
        </w:rPr>
        <w:t>2</w:t>
      </w:r>
      <w:r>
        <w:rPr>
          <w:rFonts w:ascii="Times New Roman" w:hAnsi="Times New Roman"/>
          <w:sz w:val="24"/>
        </w:rPr>
        <w:t>. Both approaches -- river engineering and mechanical pumping -- focus on moving water away. We propose an alternative: creating space to receive it.</w:t>
      </w:r>
    </w:p>
    <w:p>
      <w:pPr>
        <w:spacing w:before="360" w:after="120"/>
      </w:pPr>
      <w:r>
        <w:rPr>
          <w:rFonts w:ascii="Times New Roman" w:hAnsi="Times New Roman"/>
          <w:b/>
          <w:sz w:val="28"/>
        </w:rPr>
        <w:t>A new framework: flood energy for subsurface storage</w:t>
      </w:r>
    </w:p>
    <w:p>
      <w:pPr>
        <w:ind w:firstLine="720"/>
      </w:pPr>
      <w:r>
        <w:rPr>
          <w:rFonts w:ascii="Times New Roman" w:hAnsi="Times New Roman"/>
          <w:sz w:val="24"/>
        </w:rPr>
        <w:t>Our proposed framework operates in five phases. First, weather forecasts trigger planned dam releases days before a flood event. Second, the release generates hydropower using the elevation drop -- in Japan's steep rivers, effective heads of 50-200 m are common, yielding 5-170 MW at typical flow rates</w:t>
      </w:r>
      <w:r>
        <w:rPr>
          <w:rFonts w:ascii="Times New Roman" w:hAnsi="Times New Roman"/>
          <w:sz w:val="20"/>
          <w:vertAlign w:val="superscript"/>
        </w:rPr>
        <w:t>4</w:t>
      </w:r>
      <w:r>
        <w:rPr>
          <w:rFonts w:ascii="Times New Roman" w:hAnsi="Times New Roman"/>
          <w:sz w:val="24"/>
        </w:rPr>
        <w:t>. Third, this electricity powers groundwater pumping in adjacent watersheds, drawing down the water table to create void space in aquifers. Fourth, when heavy rainfall arrives, a portion infiltrates into the pre-emptied aquifer rather than becoming surface runoff, reducing flood peaks. Fifth, after the event, stored water serves irrigation or re-generation during dry seasons.</w:t>
      </w:r>
    </w:p>
    <w:p>
      <w:pPr>
        <w:ind w:firstLine="720"/>
      </w:pPr>
      <w:r>
        <w:rPr>
          <w:rFonts w:ascii="Times New Roman" w:hAnsi="Times New Roman"/>
          <w:sz w:val="24"/>
        </w:rPr>
        <w:t>The energy arithmetic is compelling. For a representative planned release (100 m head, 50 m3/s, 85% turbine efficiency), hydropower output is 41.7 MW. Groundwater pumping from 30 m depth at 10 m3/s with 80% pump efficiency requires only 3.7 MW -- roughly 9% of generation (Fig. 1). The remaining 91% is surplus electricity for the grid. Unlike pumped-storage hydropower, which cycles water between two reservoirs with 70-80% round-trip efficiency</w:t>
      </w:r>
      <w:r>
        <w:rPr>
          <w:rFonts w:ascii="Times New Roman" w:hAnsi="Times New Roman"/>
          <w:sz w:val="20"/>
          <w:vertAlign w:val="superscript"/>
        </w:rPr>
        <w:t>4</w:t>
      </w:r>
      <w:r>
        <w:rPr>
          <w:rFonts w:ascii="Times New Roman" w:hAnsi="Times New Roman"/>
          <w:sz w:val="24"/>
        </w:rPr>
        <w:t>, this framework converts flood energy into a flood-mitigation asset with minimal energy cost.</w:t>
      </w:r>
    </w:p>
    <w:p>
      <w:pPr>
        <w:spacing w:before="360" w:after="120"/>
      </w:pPr>
      <w:r>
        <w:rPr>
          <w:rFonts w:ascii="Times New Roman" w:hAnsi="Times New Roman"/>
          <w:b/>
          <w:sz w:val="28"/>
        </w:rPr>
        <w:t>Feasibility: the Oda-Takahashi case</w:t>
      </w:r>
    </w:p>
    <w:p>
      <w:pPr>
        <w:ind w:firstLine="720"/>
      </w:pPr>
      <w:r>
        <w:rPr>
          <w:rFonts w:ascii="Times New Roman" w:hAnsi="Times New Roman"/>
          <w:sz w:val="24"/>
        </w:rPr>
        <w:t>We tested this concept against the 2018 Mabi flooding. The Oda River basin (483 km2) received approximately 320 mm of rainfall over three days, generating an estimated 15.3 x 10^6 m3 of floodwater in the inundation zone</w:t>
      </w:r>
      <w:r>
        <w:rPr>
          <w:rFonts w:ascii="Times New Roman" w:hAnsi="Times New Roman"/>
          <w:sz w:val="20"/>
          <w:vertAlign w:val="superscript"/>
        </w:rPr>
        <w:t>1</w:t>
      </w:r>
      <w:r>
        <w:rPr>
          <w:rFonts w:ascii="Times New Roman" w:hAnsi="Times New Roman"/>
          <w:sz w:val="24"/>
        </w:rPr>
        <w:t>. The surrounding alluvial plain contains sand-gravel aquifers (estimated thickness 15 m, effective porosity 0.20). Pre-emptying 3 m of water table over a 20 km2 managed area would create 12.0 x 10^6 m3 of subsurface storage -- 78% of the observed flood volume (Fig. 2). At 5 m drawdown, storage exceeds the flood volume entirely.</w:t>
      </w:r>
    </w:p>
    <w:p>
      <w:pPr>
        <w:ind w:firstLine="720"/>
      </w:pPr>
      <w:r>
        <w:rPr>
          <w:rFonts w:ascii="Times New Roman" w:hAnsi="Times New Roman"/>
          <w:sz w:val="24"/>
        </w:rPr>
        <w:t>A simplified rainfall-runoff simulation comparing four scenarios (Fig. 3) reveals that groundwater management alone achieves modest peak reduction (2%), limited by infiltration rates. However, combined with the completed confluence relocation, the integrated approach reduces peak discharge by 32% and absorbs 41% of total runoff volume into the aquifer (Fig. 4). The groundwater component thus functions not as a replacement for structural measures but as a complementary safety layer.</w:t>
      </w:r>
    </w:p>
    <w:p>
      <w:pPr>
        <w:spacing w:before="360" w:after="120"/>
      </w:pPr>
      <w:r>
        <w:rPr>
          <w:rFonts w:ascii="Times New Roman" w:hAnsi="Times New Roman"/>
          <w:b/>
          <w:sz w:val="28"/>
        </w:rPr>
        <w:t>Scaling up: Tokyo's Arakawa-Edogawa basin</w:t>
      </w:r>
    </w:p>
    <w:p>
      <w:pPr>
        <w:ind w:firstLine="720"/>
      </w:pPr>
      <w:r>
        <w:rPr>
          <w:rFonts w:ascii="Times New Roman" w:hAnsi="Times New Roman"/>
          <w:sz w:val="24"/>
        </w:rPr>
        <w:t>If the Oda-Takahashi case demonstrates feasibility in a mid-sized basin, the true policy significance lies in densely populated metropolitan areas. The Arakawa River basin (drainage area 2,940 km2, main channel length 173 km) protects approximately 8.2 million people within its projected inundation zone</w:t>
      </w:r>
      <w:r>
        <w:rPr>
          <w:rFonts w:ascii="Times New Roman" w:hAnsi="Times New Roman"/>
          <w:sz w:val="20"/>
          <w:vertAlign w:val="superscript"/>
        </w:rPr>
        <w:t>13</w:t>
      </w:r>
      <w:r>
        <w:rPr>
          <w:rFonts w:ascii="Times New Roman" w:hAnsi="Times New Roman"/>
          <w:sz w:val="24"/>
        </w:rPr>
        <w:t>. A levee breach would be catastrophic for Japan's political and economic core.</w:t>
      </w:r>
    </w:p>
    <w:p>
      <w:pPr>
        <w:ind w:firstLine="720"/>
      </w:pPr>
      <w:r>
        <w:rPr>
          <w:rFonts w:ascii="Times New Roman" w:hAnsi="Times New Roman"/>
          <w:sz w:val="24"/>
        </w:rPr>
        <w:t>Tokyo's flood defence already involves a remarkable multi-layered system: three upstream dams (Urayama, Futase, Takizawa), the Arakawa First Retarding Basin (Saiko, capacity 39 x 10^6 m3)</w:t>
      </w:r>
      <w:r>
        <w:rPr>
          <w:rFonts w:ascii="Times New Roman" w:hAnsi="Times New Roman"/>
          <w:sz w:val="20"/>
          <w:vertAlign w:val="superscript"/>
        </w:rPr>
        <w:t>14</w:t>
      </w:r>
      <w:r>
        <w:rPr>
          <w:rFonts w:ascii="Times New Roman" w:hAnsi="Times New Roman"/>
          <w:sz w:val="24"/>
        </w:rPr>
        <w:t>, the Iwabuchi Sluice Gate controlling flow between the Arakawa and Sumida rivers, super levees (15% of lower reach completed), and the Metropolitan Area Outer Underground Discharge Channel (6.3 km, 200 m3/s) serving the adjacent Edogawa basin</w:t>
      </w:r>
      <w:r>
        <w:rPr>
          <w:rFonts w:ascii="Times New Roman" w:hAnsi="Times New Roman"/>
          <w:sz w:val="20"/>
          <w:vertAlign w:val="superscript"/>
        </w:rPr>
        <w:t>15</w:t>
      </w:r>
      <w:r>
        <w:rPr>
          <w:rFonts w:ascii="Times New Roman" w:hAnsi="Times New Roman"/>
          <w:sz w:val="24"/>
        </w:rPr>
        <w:t>. Despite this infrastructure, Typhoon Hagibis (2019) caused overbank flooding and seven levee breaches on Arakawa tributaries</w:t>
      </w:r>
      <w:r>
        <w:rPr>
          <w:rFonts w:ascii="Times New Roman" w:hAnsi="Times New Roman"/>
          <w:sz w:val="20"/>
          <w:vertAlign w:val="superscript"/>
        </w:rPr>
        <w:t>13</w:t>
      </w:r>
      <w:r>
        <w:rPr>
          <w:rFonts w:ascii="Times New Roman" w:hAnsi="Times New Roman"/>
          <w:sz w:val="24"/>
        </w:rPr>
        <w:t>, exposing residual vulnerability.</w:t>
      </w:r>
    </w:p>
    <w:p>
      <w:pPr>
        <w:ind w:firstLine="720"/>
      </w:pPr>
      <w:r>
        <w:rPr>
          <w:rFonts w:ascii="Times New Roman" w:hAnsi="Times New Roman"/>
          <w:sz w:val="24"/>
        </w:rPr>
        <w:t>The Kanto Plain beneath Tokyo holds alluvial deposits up to 80 m thick</w:t>
      </w:r>
      <w:r>
        <w:rPr>
          <w:rFonts w:ascii="Times New Roman" w:hAnsi="Times New Roman"/>
          <w:sz w:val="20"/>
          <w:vertAlign w:val="superscript"/>
        </w:rPr>
        <w:t>16</w:t>
      </w:r>
      <w:r>
        <w:rPr>
          <w:rFonts w:ascii="Times New Roman" w:hAnsi="Times New Roman"/>
          <w:sz w:val="24"/>
        </w:rPr>
        <w:t>, with sand-gravel aquifers of substantial storage potential. Critically, decades of strict groundwater extraction regulations (Industrial Water Law 1956, Building Water Law 1962) have allowed water tables to recover significantly from mid-20th-century over-extraction that caused severe land subsidence</w:t>
      </w:r>
      <w:r>
        <w:rPr>
          <w:rFonts w:ascii="Times New Roman" w:hAnsi="Times New Roman"/>
          <w:sz w:val="20"/>
          <w:vertAlign w:val="superscript"/>
        </w:rPr>
        <w:t>17</w:t>
      </w:r>
      <w:r>
        <w:rPr>
          <w:rFonts w:ascii="Times New Roman" w:hAnsi="Times New Roman"/>
          <w:sz w:val="24"/>
        </w:rPr>
        <w:t>. This recovered water table, paradoxically, represents an opportunity: carefully managed drawdown within subsidence-safe limits could create 'underground retarding basins' complementing the existing surface facilities. A conservative estimate -- 30 km2 managed area, effective porosity 0.15, 3 m drawdown -- yields 13.5 x 10^6 m3 of additional storage, augmenting the Saiko's 39 x 10^6 m3 by over one-third.</w:t>
      </w:r>
    </w:p>
    <w:p>
      <w:pPr>
        <w:ind w:firstLine="720"/>
      </w:pPr>
      <w:r>
        <w:rPr>
          <w:rFonts w:ascii="Times New Roman" w:hAnsi="Times New Roman"/>
          <w:sz w:val="24"/>
        </w:rPr>
        <w:t>Moreover, coupling aquifer storage with the Metropolitan Outer Discharge Channel -- where the channel provides 'water transfer' and the aquifer provides 'water detention' -- offers a functional division that could substantially reduce pump station loads during extreme events. In land-constrained megacities where surface expansion of retarding basins is prohibitively expensive, subsurface storage exploits an otherwise unused dimension of urban infrastructure.</w:t>
      </w:r>
    </w:p>
    <w:p>
      <w:pPr>
        <w:spacing w:before="360" w:after="120"/>
      </w:pPr>
      <w:r>
        <w:rPr>
          <w:rFonts w:ascii="Times New Roman" w:hAnsi="Times New Roman"/>
          <w:b/>
          <w:sz w:val="28"/>
        </w:rPr>
        <w:t>Why Japan -- and why beyond Japan</w:t>
      </w:r>
    </w:p>
    <w:p>
      <w:pPr>
        <w:ind w:firstLine="720"/>
      </w:pPr>
      <w:r>
        <w:rPr>
          <w:rFonts w:ascii="Times New Roman" w:hAnsi="Times New Roman"/>
          <w:sz w:val="24"/>
        </w:rPr>
        <w:t>Japan's geography uniquely suits this framework. Its rivers have gradients 5-20 times steeper than the Mississippi</w:t>
      </w:r>
      <w:r>
        <w:rPr>
          <w:rFonts w:ascii="Times New Roman" w:hAnsi="Times New Roman"/>
          <w:sz w:val="20"/>
          <w:vertAlign w:val="superscript"/>
        </w:rPr>
        <w:t>5</w:t>
      </w:r>
      <w:r>
        <w:rPr>
          <w:rFonts w:ascii="Times New Roman" w:hAnsi="Times New Roman"/>
          <w:sz w:val="24"/>
        </w:rPr>
        <w:t>, maximizing hydropower per unit flow. Adjacent watersheds are separated by only 5-30 km (versus hundreds of kilometres in continental basins), making inter-basin water management feasible at practical scales. Japan also operates the world's largest pumped-storage fleet, including the 2,820 MW Kannagawa facility</w:t>
      </w:r>
      <w:r>
        <w:rPr>
          <w:rFonts w:ascii="Times New Roman" w:hAnsi="Times New Roman"/>
          <w:sz w:val="20"/>
          <w:vertAlign w:val="superscript"/>
        </w:rPr>
        <w:t>4</w:t>
      </w:r>
      <w:r>
        <w:rPr>
          <w:rFonts w:ascii="Times New Roman" w:hAnsi="Times New Roman"/>
          <w:sz w:val="24"/>
        </w:rPr>
        <w:t>, providing both technical precedent and operational expertise directly transferable to the proposed framework.</w:t>
      </w:r>
    </w:p>
    <w:p>
      <w:pPr>
        <w:ind w:firstLine="720"/>
      </w:pPr>
      <w:r>
        <w:rPr>
          <w:rFonts w:ascii="Times New Roman" w:hAnsi="Times New Roman"/>
          <w:sz w:val="24"/>
        </w:rPr>
        <w:t>Yet the principles are not Japan-specific. Three international contexts merit attention. First, transboundary rivers: in basins like the Mekong, Nile, and Jordan, downstream nations face flood risk from upstream dam operations over which they have limited control</w:t>
      </w:r>
      <w:r>
        <w:rPr>
          <w:rFonts w:ascii="Times New Roman" w:hAnsi="Times New Roman"/>
          <w:sz w:val="20"/>
          <w:vertAlign w:val="superscript"/>
        </w:rPr>
        <w:t>6</w:t>
      </w:r>
      <w:r>
        <w:rPr>
          <w:rFonts w:ascii="Times New Roman" w:hAnsi="Times New Roman"/>
          <w:sz w:val="24"/>
        </w:rPr>
        <w:t>. A groundwater management approach allows flood mitigation using only domestic aquifers, circumventing the geopolitical constraints of water-sharing agreements. This represents a form of 'unilaterally implementable flood control' -- a concept with significant diplomatic value.</w:t>
      </w:r>
    </w:p>
    <w:p>
      <w:pPr>
        <w:ind w:firstLine="720"/>
      </w:pPr>
      <w:r>
        <w:rPr>
          <w:rFonts w:ascii="Times New Roman" w:hAnsi="Times New Roman"/>
          <w:sz w:val="24"/>
        </w:rPr>
        <w:t>Second, river deltas: the Mekong Delta, Nile Delta, and Ganges-Brahmaputra-Meghna Delta face compounding threats from upstream flooding and sea-level rise</w:t>
      </w:r>
      <w:r>
        <w:rPr>
          <w:rFonts w:ascii="Times New Roman" w:hAnsi="Times New Roman"/>
          <w:sz w:val="20"/>
          <w:vertAlign w:val="superscript"/>
        </w:rPr>
        <w:t>7</w:t>
      </w:r>
      <w:r>
        <w:rPr>
          <w:rFonts w:ascii="Times New Roman" w:hAnsi="Times New Roman"/>
          <w:sz w:val="24"/>
        </w:rPr>
        <w:t>. Pre-flood aquifer drawdown could address both by creating storage for upstream flood pulses while managing the freshwater-saltwater interface.</w:t>
      </w:r>
    </w:p>
    <w:p>
      <w:pPr>
        <w:ind w:firstLine="720"/>
      </w:pPr>
      <w:r>
        <w:rPr>
          <w:rFonts w:ascii="Times New Roman" w:hAnsi="Times New Roman"/>
          <w:sz w:val="24"/>
        </w:rPr>
        <w:t>Third, arid regions: in the Middle East and North Africa, flash floods in wadis (ephemeral streams) represent both a hazard and an untapped water resource. Countries with sovereign wealth (Saudi Arabia's NEOM project, UAE's food security programmes) could deploy this framework to capture flash-flood energy for aquifer recharge, simultaneously mitigating flood damage and augmenting scarce groundwater supplies. California's Flood-MAR programme</w:t>
      </w:r>
      <w:r>
        <w:rPr>
          <w:rFonts w:ascii="Times New Roman" w:hAnsi="Times New Roman"/>
          <w:sz w:val="20"/>
          <w:vertAlign w:val="superscript"/>
        </w:rPr>
        <w:t>8</w:t>
      </w:r>
      <w:r>
        <w:rPr>
          <w:rFonts w:ascii="Times New Roman" w:hAnsi="Times New Roman"/>
          <w:sz w:val="24"/>
        </w:rPr>
        <w:t xml:space="preserve"> already demonstrates the reverse direction (surface flood to aquifer), validating the hydrogeological feasibility.</w:t>
      </w:r>
    </w:p>
    <w:p>
      <w:pPr>
        <w:ind w:firstLine="720"/>
      </w:pPr>
      <w:r>
        <w:rPr>
          <w:rFonts w:ascii="Times New Roman" w:hAnsi="Times New Roman"/>
          <w:sz w:val="24"/>
        </w:rPr>
        <w:t>Where rivers form international borders, the framework offers additional value. The nation experiencing backwater flooding can manage its own alluvial aquifer without requiring upstream cooperation, diplomatic negotiation, or joint infrastructure investment -- a critical advantage in politically fragile basins.</w:t>
      </w:r>
    </w:p>
    <w:p>
      <w:pPr>
        <w:spacing w:before="360" w:after="120"/>
      </w:pPr>
      <w:r>
        <w:rPr>
          <w:rFonts w:ascii="Times New Roman" w:hAnsi="Times New Roman"/>
          <w:b/>
          <w:sz w:val="28"/>
        </w:rPr>
        <w:t>Challenges and next steps</w:t>
      </w:r>
    </w:p>
    <w:p>
      <w:pPr>
        <w:ind w:firstLine="720"/>
      </w:pPr>
      <w:r>
        <w:rPr>
          <w:rFonts w:ascii="Times New Roman" w:hAnsi="Times New Roman"/>
          <w:sz w:val="24"/>
        </w:rPr>
        <w:t>Several challenges require resolution. Land subsidence from excessive drawdown is a well-documented risk</w:t>
      </w:r>
      <w:r>
        <w:rPr>
          <w:rFonts w:ascii="Times New Roman" w:hAnsi="Times New Roman"/>
          <w:sz w:val="20"/>
          <w:vertAlign w:val="superscript"/>
        </w:rPr>
        <w:t>9</w:t>
      </w:r>
      <w:r>
        <w:rPr>
          <w:rFonts w:ascii="Times New Roman" w:hAnsi="Times New Roman"/>
          <w:sz w:val="24"/>
        </w:rPr>
        <w:t>; Japan's Kanto Plain experienced severe subsidence from industrial groundwater extraction in the mid-20th century, leading to strict regulations that any new framework must navigate. Infiltration rates during intense rainfall events may limit real-time peak reduction, necessitating engineered recharge facilities (infiltration basins, injection wells) rather than relying on natural percolation alone.</w:t>
      </w:r>
    </w:p>
    <w:p>
      <w:pPr>
        <w:ind w:firstLine="720"/>
      </w:pPr>
      <w:r>
        <w:rPr>
          <w:rFonts w:ascii="Times New Roman" w:hAnsi="Times New Roman"/>
          <w:sz w:val="24"/>
        </w:rPr>
        <w:t>Detailed validation using coupled surface-subsurface models (GSFLOW</w:t>
      </w:r>
      <w:r>
        <w:rPr>
          <w:rFonts w:ascii="Times New Roman" w:hAnsi="Times New Roman"/>
          <w:sz w:val="20"/>
          <w:vertAlign w:val="superscript"/>
        </w:rPr>
        <w:t>10</w:t>
      </w:r>
      <w:r>
        <w:rPr>
          <w:rFonts w:ascii="Times New Roman" w:hAnsi="Times New Roman"/>
          <w:sz w:val="24"/>
        </w:rPr>
        <w:t>, ParFlow</w:t>
      </w:r>
      <w:r>
        <w:rPr>
          <w:rFonts w:ascii="Times New Roman" w:hAnsi="Times New Roman"/>
          <w:sz w:val="20"/>
          <w:vertAlign w:val="superscript"/>
        </w:rPr>
        <w:t>11</w:t>
      </w:r>
      <w:r>
        <w:rPr>
          <w:rFonts w:ascii="Times New Roman" w:hAnsi="Times New Roman"/>
          <w:sz w:val="24"/>
        </w:rPr>
        <w:t>) is essential to replace the simplified analysis presented here. Two pilot basins are proposed: Oda-Takahashi (Mabi district, where confluence relocation is complete and effect verification is ongoing) and the Arakawa middle reach (where metropolitan-scale social impact maximizes the value of incremental safety improvements). Institutional frameworks for 'subsurface flood detention' -- the underground equivalent of surface retarding basins -- need development within Japan's 'Watershed-based Flood Management' policy</w:t>
      </w:r>
      <w:r>
        <w:rPr>
          <w:rFonts w:ascii="Times New Roman" w:hAnsi="Times New Roman"/>
          <w:sz w:val="20"/>
          <w:vertAlign w:val="superscript"/>
        </w:rPr>
        <w:t>12</w:t>
      </w:r>
      <w:r>
        <w:rPr>
          <w:rFonts w:ascii="Times New Roman" w:hAnsi="Times New Roman"/>
          <w:sz w:val="24"/>
        </w:rPr>
        <w:t xml:space="preserve"> and analogous frameworks internationally.</w:t>
      </w:r>
    </w:p>
    <w:p>
      <w:pPr>
        <w:ind w:firstLine="720"/>
      </w:pPr>
      <w:r>
        <w:rPr>
          <w:rFonts w:ascii="Times New Roman" w:hAnsi="Times New Roman"/>
          <w:sz w:val="24"/>
        </w:rPr>
        <w:t>The integration of flood control with renewable energy generation, groundwater management, and drought resilience represents a systems-level innovation. By viewing floods not merely as hazards to be repelled but as energy resources to be harvested and storage opportunities to be created, we open a new design space for adaptive water management in an era of climate uncertainty.</w:t>
      </w:r>
    </w:p>
    <w:p>
      <w:pPr>
        <w:spacing w:before="360" w:after="120"/>
      </w:pPr>
      <w:r>
        <w:rPr>
          <w:rFonts w:ascii="Times New Roman" w:hAnsi="Times New Roman"/>
          <w:b/>
          <w:sz w:val="24"/>
        </w:rPr>
        <w:t>Competing Interests</w:t>
      </w:r>
    </w:p>
    <w:p>
      <w:pPr>
        <w:ind w:firstLine="0"/>
      </w:pPr>
      <w:r>
        <w:rPr>
          <w:rFonts w:ascii="Times New Roman" w:hAnsi="Times New Roman"/>
          <w:sz w:val="24"/>
        </w:rPr>
        <w:t>The authors declare no competing interests. A related Japanese-language manuscript on the same conceptual framework, focusing on the Oda-Takahashi case study, has been submitted to the Journal of JSCE (Special Issue: Hydraulic Engineering).</w:t>
      </w:r>
    </w:p>
    <w:p>
      <w:pPr>
        <w:spacing w:before="360" w:after="120"/>
      </w:pPr>
      <w:r>
        <w:rPr>
          <w:rFonts w:ascii="Times New Roman" w:hAnsi="Times New Roman"/>
          <w:b/>
          <w:sz w:val="28"/>
        </w:rPr>
        <w:t>References</w:t>
      </w:r>
    </w:p>
    <w:p>
      <w:pPr>
        <w:ind w:firstLine="0" w:left="720"/>
      </w:pPr>
      <w:r>
        <w:rPr>
          <w:rFonts w:ascii="Times New Roman" w:hAnsi="Times New Roman"/>
          <w:sz w:val="22"/>
        </w:rPr>
        <w:t>1. National Research Institute for Earth Science and Disaster Resilience (NIED). Report on July 2018 Western Japan Heavy Rains. (2018).</w:t>
      </w:r>
    </w:p>
    <w:p>
      <w:pPr>
        <w:ind w:firstLine="0" w:left="720"/>
      </w:pPr>
      <w:r>
        <w:rPr>
          <w:rFonts w:ascii="Times New Roman" w:hAnsi="Times New Roman"/>
          <w:sz w:val="22"/>
        </w:rPr>
        <w:t>2. Mississippi State University Extension. Final Report: Survey of Overlooked Costs of the 2019 Backwater Flood in the Yazoo Mississippi Delta. (2020).</w:t>
      </w:r>
    </w:p>
    <w:p>
      <w:pPr>
        <w:ind w:firstLine="0" w:left="720"/>
      </w:pPr>
      <w:r>
        <w:rPr>
          <w:rFonts w:ascii="Times New Roman" w:hAnsi="Times New Roman"/>
          <w:sz w:val="22"/>
        </w:rPr>
        <w:t>3. KSB News. Oda River flood control project effectiveness confirmed during November 2024 heavy rain. 7 February (2025).</w:t>
      </w:r>
    </w:p>
    <w:p>
      <w:pPr>
        <w:ind w:firstLine="0" w:left="720"/>
      </w:pPr>
      <w:r>
        <w:rPr>
          <w:rFonts w:ascii="Times New Roman" w:hAnsi="Times New Roman"/>
          <w:sz w:val="22"/>
        </w:rPr>
        <w:t>4. IEA Hydropower Implementing Agreement. Case Study 11-02: Large Scale Pumped Storage Power Plants, Japan. (2006).</w:t>
      </w:r>
    </w:p>
    <w:p>
      <w:pPr>
        <w:ind w:firstLine="0" w:left="720"/>
      </w:pPr>
      <w:r>
        <w:rPr>
          <w:rFonts w:ascii="Times New Roman" w:hAnsi="Times New Roman"/>
          <w:sz w:val="22"/>
        </w:rPr>
        <w:t>5. Kinoshita, S. &amp; Tokunaga, Y. Water Resources Management in Japan. IWRA Proceedings (2003).</w:t>
      </w:r>
    </w:p>
    <w:p>
      <w:pPr>
        <w:ind w:firstLine="0" w:left="720"/>
      </w:pPr>
      <w:r>
        <w:rPr>
          <w:rFonts w:ascii="Times New Roman" w:hAnsi="Times New Roman"/>
          <w:sz w:val="22"/>
        </w:rPr>
        <w:t>6. Mekong River Commission. State of the Basin Report 2018. (Vientiane, 2019).</w:t>
      </w:r>
    </w:p>
    <w:p>
      <w:pPr>
        <w:ind w:firstLine="0" w:left="720"/>
      </w:pPr>
      <w:r>
        <w:rPr>
          <w:rFonts w:ascii="Times New Roman" w:hAnsi="Times New Roman"/>
          <w:sz w:val="22"/>
        </w:rPr>
        <w:t>7. Minderhoud, P. S. J. et al. Mekong delta much lower than previously assumed in sea-level rise impact assessments. Nat. Commun. 10, 3847 (2019).</w:t>
      </w:r>
    </w:p>
    <w:p>
      <w:pPr>
        <w:ind w:firstLine="0" w:left="720"/>
      </w:pPr>
      <w:r>
        <w:rPr>
          <w:rFonts w:ascii="Times New Roman" w:hAnsi="Times New Roman"/>
          <w:sz w:val="22"/>
        </w:rPr>
        <w:t>8. California Department of Water Resources. Flood-Managed Aquifer Recharge (Flood-MAR). https://water.ca.gov/Programs/All-Programs/Flood-MAR</w:t>
      </w:r>
    </w:p>
    <w:p>
      <w:pPr>
        <w:ind w:firstLine="0" w:left="720"/>
      </w:pPr>
      <w:r>
        <w:rPr>
          <w:rFonts w:ascii="Times New Roman" w:hAnsi="Times New Roman"/>
          <w:sz w:val="22"/>
        </w:rPr>
        <w:t>9. Chang, Y.-L. et al. Flood hazard mitigation in land subsidence prone coastal areas by optimal groundwater pumping. Water Resour. Manag. (2019).</w:t>
      </w:r>
    </w:p>
    <w:p>
      <w:pPr>
        <w:ind w:firstLine="0" w:left="720"/>
      </w:pPr>
      <w:r>
        <w:rPr>
          <w:rFonts w:ascii="Times New Roman" w:hAnsi="Times New Roman"/>
          <w:sz w:val="22"/>
        </w:rPr>
        <w:t>10. USGS. GSFLOW: Coupled Groundwater and Surface-Water Flow Model. https://water.usgs.gov/ogw/gsflow/</w:t>
      </w:r>
    </w:p>
    <w:p>
      <w:pPr>
        <w:ind w:firstLine="0" w:left="720"/>
      </w:pPr>
      <w:r>
        <w:rPr>
          <w:rFonts w:ascii="Times New Roman" w:hAnsi="Times New Roman"/>
          <w:sz w:val="22"/>
        </w:rPr>
        <w:t>11. Maxwell, R. M. et al. A high-resolution simulation of groundwater and surface water over most of the continental US with ParFlow v3. Geosci. Model Dev. 8, 923-937 (2015).</w:t>
      </w:r>
    </w:p>
    <w:p>
      <w:pPr>
        <w:ind w:firstLine="0" w:left="720"/>
      </w:pPr>
      <w:r>
        <w:rPr>
          <w:rFonts w:ascii="Times New Roman" w:hAnsi="Times New Roman"/>
          <w:sz w:val="22"/>
        </w:rPr>
        <w:t>12. Ministry of Land, Infrastructure, Transport and Tourism (MLIT). Watershed-based Flood Management Project. https://www.mlit.go.jp/river/kasen/ryuiki_pro/ (in Japanese).</w:t>
      </w:r>
    </w:p>
    <w:p>
      <w:pPr>
        <w:ind w:firstLine="0" w:left="720"/>
      </w:pPr>
      <w:r>
        <w:rPr>
          <w:rFonts w:ascii="Times New Roman" w:hAnsi="Times New Roman"/>
          <w:sz w:val="22"/>
        </w:rPr>
        <w:t>13. MLIT Water Management and National Land Conservation Bureau. Overview of the Revision of the Arakawa River Basin Flood Control Basic Policy. (November 2024).</w:t>
      </w:r>
    </w:p>
    <w:p>
      <w:pPr>
        <w:ind w:firstLine="0" w:left="720"/>
      </w:pPr>
      <w:r>
        <w:rPr>
          <w:rFonts w:ascii="Times New Roman" w:hAnsi="Times New Roman"/>
          <w:sz w:val="22"/>
        </w:rPr>
        <w:t>14. MLIT Kanto Regional Development Bureau. Saiko (Arakawa First Retarding Basin). https://www.ktr.mlit.go.jp/arajo/arajo00161.html</w:t>
      </w:r>
    </w:p>
    <w:p>
      <w:pPr>
        <w:ind w:firstLine="0" w:left="720"/>
      </w:pPr>
      <w:r>
        <w:rPr>
          <w:rFonts w:ascii="Times New Roman" w:hAnsi="Times New Roman"/>
          <w:sz w:val="22"/>
        </w:rPr>
        <w:t>15. MLIT Kanto Regional Development Bureau. Metropolitan Area Outer Underground Discharge Channel. https://www.ktr.mlit.go.jp/edogawa/gaikaku/</w:t>
      </w:r>
    </w:p>
    <w:p>
      <w:pPr>
        <w:ind w:firstLine="0" w:left="720"/>
      </w:pPr>
      <w:r>
        <w:rPr>
          <w:rFonts w:ascii="Times New Roman" w:hAnsi="Times New Roman"/>
          <w:sz w:val="22"/>
        </w:rPr>
        <w:t>16. Komatsubara, J. Alluvial deposits of the Tokyo Lowland. GSJ Geol. News 10(7), 148-152 (2021).</w:t>
      </w:r>
    </w:p>
    <w:p>
      <w:pPr>
        <w:ind w:firstLine="0" w:left="720"/>
      </w:pPr>
      <w:r>
        <w:rPr>
          <w:rFonts w:ascii="Times New Roman" w:hAnsi="Times New Roman"/>
          <w:sz w:val="22"/>
        </w:rPr>
        <w:t>17. MLIT Water Resources Department. Groundwater Conservation and Land Subsidence Status. https://www.mlit.go.jp/mizukokudo/mizsei/</w:t>
      </w:r>
    </w:p>
    <w:p>
      <w:pPr>
        <w:ind w:firstLine="0" w:left="720"/>
      </w:pPr>
      <w:r>
        <w:rPr>
          <w:rFonts w:ascii="Times New Roman" w:hAnsi="Times New Roman"/>
          <w:sz w:val="22"/>
        </w:rPr>
        <w:t>18. Maeno, S. Effect of relocation of confluence site of the Takahashi River and the Oda River. J. Hydraul. Eng. JSCE 51, 613-618 (2007).</w:t>
      </w:r>
    </w:p>
    <w:p>
      <w:pPr>
        <w:ind w:firstLine="0" w:left="720"/>
      </w:pPr>
      <w:r>
        <w:rPr>
          <w:rFonts w:ascii="Times New Roman" w:hAnsi="Times New Roman"/>
          <w:sz w:val="22"/>
        </w:rPr>
        <w:t>19. Berkowitz, J. F. et al. Forested wetland hydrology in a large Mississippi River tributary system. Wetlands (2019).</w:t>
      </w:r>
    </w:p>
    <w:p>
      <w:pPr>
        <w:ind w:firstLine="0" w:left="720"/>
      </w:pPr>
      <w:r>
        <w:rPr>
          <w:rFonts w:ascii="Times New Roman" w:hAnsi="Times New Roman"/>
          <w:sz w:val="22"/>
        </w:rPr>
        <w:t>20. Li, A. &amp; Tsai, F.T.-C. Understanding dynamics of groundwater flows in the Mississippi River Delta. J. Hydrol. 583, 124616 (2020).</w:t>
      </w:r>
    </w:p>
    <w:p>
      <w:pPr>
        <w:ind w:firstLine="0" w:left="720"/>
      </w:pPr>
      <w:r>
        <w:rPr>
          <w:rFonts w:ascii="Times New Roman" w:hAnsi="Times New Roman"/>
          <w:sz w:val="22"/>
        </w:rPr>
        <w:t>21. Nishizawa Katazakai, S. &amp; Zhang, J. Long-term flood control in central Japan. Groundw. Sustain. Dev. 33, 101585 (2026).</w:t>
      </w:r>
    </w:p>
    <w:p>
      <w:pPr>
        <w:ind w:firstLine="0" w:left="720"/>
      </w:pPr>
      <w:r>
        <w:rPr>
          <w:rFonts w:ascii="Times New Roman" w:hAnsi="Times New Roman"/>
          <w:sz w:val="22"/>
        </w:rPr>
        <w:t>22. Cosgrove, B. et al. NOAA's National Water Model. JAWRA 60, 247-272 (2024).</w:t>
      </w:r>
    </w:p>
    <w:p>
      <w:pPr>
        <w:ind w:firstLine="0" w:left="720"/>
      </w:pPr>
      <w:r>
        <w:rPr>
          <w:rFonts w:ascii="Times New Roman" w:hAnsi="Times New Roman"/>
          <w:sz w:val="22"/>
        </w:rPr>
        <w:t>23. Chang, J. et al. Flood resource utilization of cascade hydropower stations. EGU General Assembly 2025, EGU25-14374.</w:t>
      </w:r>
    </w:p>
    <w:p>
      <w:pPr>
        <w:ind w:firstLine="0" w:left="720"/>
      </w:pPr>
      <w:r>
        <w:rPr>
          <w:rFonts w:ascii="Times New Roman" w:hAnsi="Times New Roman"/>
          <w:sz w:val="22"/>
        </w:rPr>
        <w:t>24. Dillon, P. et al. Managed aquifer recharge: rediscovering nature as a leading edge technology. Water Sci. Technol. 62, 2338-2345 (2010).</w:t>
      </w:r>
    </w:p>
    <w:p>
      <w:pPr>
        <w:spacing w:before="360" w:after="120"/>
      </w:pPr>
      <w:r>
        <w:rPr>
          <w:rFonts w:ascii="Times New Roman" w:hAnsi="Times New Roman"/>
          <w:b/>
          <w:sz w:val="28"/>
        </w:rPr>
        <w:t>Figure Legends</w:t>
      </w:r>
    </w:p>
    <w:p>
      <w:pPr>
        <w:spacing w:before="120"/>
      </w:pPr>
      <w:r>
        <w:rPr>
          <w:rFonts w:ascii="Times New Roman" w:hAnsi="Times New Roman"/>
          <w:b/>
          <w:sz w:val="22"/>
        </w:rPr>
        <w:t xml:space="preserve">Fig. 1  </w:t>
      </w:r>
      <w:r>
        <w:rPr>
          <w:rFonts w:ascii="Times New Roman" w:hAnsi="Times New Roman"/>
          <w:sz w:val="22"/>
        </w:rPr>
        <w:t>Hydropower output from planned dam release as a function of effective head (H) and discharge (Q). Blue dashed line indicates the pumping power requirement (3.7 MW) for groundwater extraction at 30 m lift, 10 m3/s flow. The area above this line represents conditions where the system is energy-positive.</w:t>
      </w:r>
    </w:p>
    <w:p>
      <w:pPr>
        <w:spacing w:before="120"/>
      </w:pPr>
      <w:r>
        <w:rPr>
          <w:rFonts w:ascii="Times New Roman" w:hAnsi="Times New Roman"/>
          <w:b/>
          <w:sz w:val="22"/>
        </w:rPr>
        <w:t xml:space="preserve">Fig. 2  </w:t>
      </w:r>
      <w:r>
        <w:rPr>
          <w:rFonts w:ascii="Times New Roman" w:hAnsi="Times New Roman"/>
          <w:sz w:val="22"/>
        </w:rPr>
        <w:t>Aquifer storage capacity created by pre-flood groundwater drawdown over a 20 km2 managed area (effective porosity 0.20). Red dashed line: observed flood volume during the 2018 event (15.3 x 10^6 m3). Percentages indicate the fraction of 2018 flood volume that could be absorbed.</w:t>
      </w:r>
    </w:p>
    <w:p>
      <w:pPr>
        <w:spacing w:before="120"/>
      </w:pPr>
      <w:r>
        <w:rPr>
          <w:rFonts w:ascii="Times New Roman" w:hAnsi="Times New Roman"/>
          <w:b/>
          <w:sz w:val="22"/>
        </w:rPr>
        <w:t xml:space="preserve">Fig. 3  </w:t>
      </w:r>
      <w:r>
        <w:rPr>
          <w:rFonts w:ascii="Times New Roman" w:hAnsi="Times New Roman"/>
          <w:sz w:val="22"/>
        </w:rPr>
        <w:t>Comparison of flood hydrographs under four scenarios for the Oda River basin (72-hour event modelled on 2018 rainfall). Upper panel: rainfall intensity; lower panel: discharge. Scenarios: (1) no action, (2) confluence relocation, (3) groundwater management, (4) integrated approach.</w:t>
      </w:r>
    </w:p>
    <w:p>
      <w:pPr>
        <w:spacing w:before="120"/>
      </w:pPr>
      <w:r>
        <w:rPr>
          <w:rFonts w:ascii="Times New Roman" w:hAnsi="Times New Roman"/>
          <w:b/>
          <w:sz w:val="22"/>
        </w:rPr>
        <w:t xml:space="preserve">Fig. 4  </w:t>
      </w:r>
      <w:r>
        <w:rPr>
          <w:rFonts w:ascii="Times New Roman" w:hAnsi="Times New Roman"/>
          <w:sz w:val="22"/>
        </w:rPr>
        <w:t>Flood control effectiveness by scenario. (a) Peak discharge comparison; (b) Total runoff volume comparison. Percentages indicate reduction relative to no-action baseline.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