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Verdana" w:hAnsi="Verdana"/>
          <w:b/>
          <w:i w:val="0"/>
          <w:sz w:val="24"/>
        </w:rPr>
        <w:t>Cover Letter / Submission Email Draft</w:t>
      </w:r>
    </w:p>
    <w:p>
      <w:pPr>
        <w:spacing w:before="0" w:after="120"/>
      </w:pPr>
      <w:r>
        <w:rPr>
          <w:rFonts w:ascii="Verdana" w:hAnsi="Verdana"/>
          <w:b/>
          <w:i w:val="0"/>
          <w:sz w:val="20"/>
        </w:rPr>
        <w:t>To: managing_editor@water-alternatives.org</w:t>
      </w:r>
    </w:p>
    <w:p>
      <w:pPr>
        <w:spacing w:before="0" w:after="240"/>
      </w:pPr>
      <w:r>
        <w:rPr>
          <w:rFonts w:ascii="Verdana" w:hAnsi="Verdana"/>
          <w:b/>
          <w:i w:val="0"/>
          <w:sz w:val="20"/>
        </w:rPr>
        <w:t>Subject: Submission of Research Article — "Unilateral flood control through subsurface storage management"</w:t>
      </w:r>
    </w:p>
    <w:p>
      <w:pPr>
        <w:spacing w:before="0" w:after="120"/>
      </w:pPr>
      <w:r>
        <w:rPr>
          <w:rFonts w:ascii="Verdana" w:hAnsi="Verdana"/>
          <w:b w:val="0"/>
          <w:i w:val="0"/>
          <w:sz w:val="20"/>
        </w:rPr>
        <w:t>Dear Managing Editor,</w:t>
      </w:r>
    </w:p>
    <w:p>
      <w:pPr>
        <w:spacing w:before="0" w:after="120"/>
      </w:pPr>
      <w:r>
        <w:rPr>
          <w:rFonts w:ascii="Verdana" w:hAnsi="Verdana"/>
          <w:b w:val="0"/>
          <w:i w:val="0"/>
          <w:sz w:val="20"/>
        </w:rPr>
      </w:r>
    </w:p>
    <w:p>
      <w:pPr>
        <w:spacing w:before="0" w:after="120"/>
      </w:pPr>
      <w:r>
        <w:rPr>
          <w:rFonts w:ascii="Verdana" w:hAnsi="Verdana"/>
          <w:b w:val="0"/>
          <w:i w:val="0"/>
          <w:sz w:val="20"/>
        </w:rPr>
        <w:t>I am pleased to submit the attached manuscript, entitled "Unilateral flood control through subsurface storage management: A hydro-political analysis of planned-release hydropower and inter-watershed groundwater transfer", for consideration as a Research Article in Water Alternatives.</w:t>
      </w:r>
    </w:p>
    <w:p>
      <w:pPr>
        <w:spacing w:before="0" w:after="120"/>
      </w:pPr>
      <w:r>
        <w:rPr>
          <w:rFonts w:ascii="Verdana" w:hAnsi="Verdana"/>
          <w:b w:val="0"/>
          <w:i w:val="0"/>
          <w:sz w:val="20"/>
        </w:rPr>
        <w:t>The paper proposes a novel flood control framework that enables downstream nations to implement flood mitigation measures unilaterally — without requiring upstream cooperation — by integrating planned-release hydropower generation with inter-watershed groundwater management. The concept is analysed through feasibility studies of two Japanese basins (Oda River–Takahashi River and Arakawa–Edogawa) and situated within the hydro-hegemony literature, with applications discussed for the Mekong, Nile, Ganges-Brahmaputra-Meghna, Indus, Tigris-Euphrates, and Jordan basins.</w:t>
      </w:r>
    </w:p>
    <w:p>
      <w:pPr>
        <w:spacing w:before="0" w:after="120"/>
      </w:pPr>
      <w:r>
        <w:rPr>
          <w:rFonts w:ascii="Verdana" w:hAnsi="Verdana"/>
          <w:b w:val="0"/>
          <w:i w:val="0"/>
          <w:sz w:val="20"/>
        </w:rPr>
        <w:t>I believe the manuscript is well suited to Water Alternatives because it engages directly with hydro-hegemony theory, bridges technical feasibility analysis with water governance scholarship, and has implications for transboundary flood management across multiple global river systems.</w:t>
      </w:r>
    </w:p>
    <w:p>
      <w:pPr>
        <w:spacing w:before="0" w:after="120"/>
      </w:pPr>
      <w:r>
        <w:rPr>
          <w:rFonts w:ascii="Verdana" w:hAnsi="Verdana"/>
          <w:b w:val="0"/>
          <w:i w:val="0"/>
          <w:sz w:val="20"/>
        </w:rPr>
        <w:t>Disclosure: A related manuscript focusing on quantitative engineering analysis is being submitted to the Journal of JSCE (Special Issue: Hydroscience and Hydraulic Engineering, B1). The two manuscripts differ substantially in scope and audience — the JSCE paper is a technical engineering paper, while the Water Alternatives manuscript focuses on water governance and hydro-political dimensions.</w:t>
      </w:r>
    </w:p>
    <w:p>
      <w:pPr>
        <w:spacing w:before="0" w:after="120"/>
      </w:pPr>
      <w:r>
        <w:rPr>
          <w:rFonts w:ascii="Verdana" w:hAnsi="Verdana"/>
          <w:b w:val="0"/>
          <w:i w:val="0"/>
          <w:sz w:val="20"/>
        </w:rPr>
        <w:t>The manuscript has not been published previously and is not under consideration elsewhere in its current form. Author information, declarations (conflicts of interest, funding, AI use, and author contributions), and acknowledgements are provided on the cover page (first page) of the attached manuscript, as per WaA guidelines.</w:t>
      </w:r>
    </w:p>
    <w:p>
      <w:pPr>
        <w:spacing w:before="0" w:after="120"/>
      </w:pPr>
      <w:r>
        <w:rPr>
          <w:rFonts w:ascii="Verdana" w:hAnsi="Verdana"/>
          <w:b w:val="0"/>
          <w:i/>
          <w:sz w:val="20"/>
        </w:rPr>
        <w:t>Attached: Manuscript file (.docx), prepared using the WaA template.</w:t>
      </w:r>
    </w:p>
    <w:p>
      <w:pPr>
        <w:spacing w:before="0" w:after="120"/>
      </w:pPr>
      <w:r>
        <w:rPr>
          <w:rFonts w:ascii="Verdana" w:hAnsi="Verdana"/>
          <w:b w:val="0"/>
          <w:i w:val="0"/>
          <w:sz w:val="20"/>
        </w:rPr>
      </w:r>
    </w:p>
    <w:p>
      <w:pPr>
        <w:spacing w:before="0" w:after="120"/>
      </w:pPr>
      <w:r>
        <w:rPr>
          <w:rFonts w:ascii="Verdana" w:hAnsi="Verdana"/>
          <w:b w:val="0"/>
          <w:i w:val="0"/>
          <w:sz w:val="20"/>
        </w:rPr>
        <w:t>Kind regards,</w:t>
      </w:r>
    </w:p>
    <w:p>
      <w:pPr>
        <w:spacing w:before="0" w:after="120"/>
      </w:pPr>
      <w:r>
        <w:rPr>
          <w:rFonts w:ascii="Verdana" w:hAnsi="Verdana"/>
          <w:b w:val="0"/>
          <w:i w:val="0"/>
          <w:sz w:val="20"/>
        </w:rPr>
      </w:r>
    </w:p>
    <w:p>
      <w:pPr>
        <w:spacing w:before="0" w:after="120"/>
      </w:pPr>
      <w:r>
        <w:rPr>
          <w:rFonts w:ascii="Verdana" w:hAnsi="Verdana"/>
          <w:b w:val="0"/>
          <w:i w:val="0"/>
          <w:sz w:val="20"/>
        </w:rPr>
        <w:t>Tatsuki Onishi</w:t>
      </w:r>
    </w:p>
    <w:p>
      <w:pPr>
        <w:spacing w:before="0" w:after="120"/>
      </w:pPr>
      <w:r>
        <w:rPr>
          <w:rFonts w:ascii="Verdana" w:hAnsi="Verdana"/>
          <w:b w:val="0"/>
          <w:i w:val="0"/>
          <w:color w:val="FF0000"/>
          <w:sz w:val="20"/>
        </w:rPr>
        <w:t>(Affiliation)</w:t>
      </w:r>
    </w:p>
    <w:p>
      <w:pPr>
        <w:spacing w:before="0" w:after="120"/>
      </w:pPr>
      <w:r>
        <w:rPr>
          <w:rFonts w:ascii="Verdana" w:hAnsi="Verdana"/>
          <w:b w:val="0"/>
          <w:i w:val="0"/>
          <w:color w:val="FF0000"/>
          <w:sz w:val="20"/>
        </w:rPr>
        <w:t>(Email)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