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b w:val="0"/>
          <w:i w:val="0"/>
          <w:sz w:val="24"/>
        </w:rPr>
        <w:t>18 May 2026</w:t>
      </w:r>
    </w:p>
    <w:p>
      <w:pPr>
        <w:spacing w:after="120"/>
      </w:pPr>
      <w:r>
        <w:rPr>
          <w:rFonts w:ascii="Times New Roman" w:hAnsi="Times New Roman"/>
          <w:b w:val="0"/>
          <w:i w:val="0"/>
          <w:sz w:val="24"/>
        </w:rPr>
        <w:t>The Editor-in-Chief</w:t>
      </w:r>
    </w:p>
    <w:p>
      <w:pPr>
        <w:spacing w:after="120"/>
      </w:pPr>
      <w:r>
        <w:rPr>
          <w:rFonts w:ascii="Times New Roman" w:hAnsi="Times New Roman"/>
          <w:b w:val="0"/>
          <w:i w:val="0"/>
          <w:sz w:val="24"/>
        </w:rPr>
        <w:t>Water Policy</w:t>
      </w:r>
    </w:p>
    <w:p>
      <w:pPr>
        <w:spacing w:after="240"/>
      </w:pPr>
      <w:r>
        <w:rPr>
          <w:rFonts w:ascii="Times New Roman" w:hAnsi="Times New Roman"/>
          <w:b w:val="0"/>
          <w:i w:val="0"/>
          <w:sz w:val="24"/>
        </w:rPr>
        <w:t>IWA Publishing</w:t>
      </w:r>
    </w:p>
    <w:p>
      <w:pPr>
        <w:spacing w:after="240"/>
      </w:pPr>
      <w:r>
        <w:rPr>
          <w:rFonts w:ascii="Times New Roman" w:hAnsi="Times New Roman"/>
          <w:b w:val="0"/>
          <w:i w:val="0"/>
          <w:sz w:val="24"/>
        </w:rPr>
        <w:t>Dear Editor,</w:t>
      </w:r>
    </w:p>
    <w:p>
      <w:pPr>
        <w:spacing w:after="120"/>
      </w:pPr>
      <w:r>
        <w:rPr>
          <w:rFonts w:ascii="Times New Roman" w:hAnsi="Times New Roman"/>
          <w:b w:val="0"/>
          <w:i w:val="0"/>
          <w:sz w:val="24"/>
        </w:rPr>
        <w:t>I am writing to submit the enclosed manuscript entitled "Unilateral flood control through subsurface storage management: a hydro-political analysis of planned-release hydropower and inter-watershed groundwater transfer" for consideration as a Research Paper in Water Policy.</w:t>
      </w:r>
    </w:p>
    <w:p>
      <w:pPr>
        <w:spacing w:after="120"/>
      </w:pPr>
      <w:r>
        <w:rPr>
          <w:rFonts w:ascii="Times New Roman" w:hAnsi="Times New Roman"/>
          <w:b w:val="0"/>
          <w:i w:val="0"/>
          <w:sz w:val="24"/>
        </w:rPr>
        <w:t>This paper proposes a novel flood control framework that integrates planned-release hydropower generation with inter-watershed groundwater management, enabling downstream nations or sub-national jurisdictions to implement flood mitigation unilaterally, without requiring upstream cooperation. The paper situates this technical proposal within the hydro-hegemony literature, demonstrating its relevance to transboundary flood governance in major river basins including the Mekong, Nile, Ganges-Brahmaputra-Meghna, Indus, and Tigris-Euphrates.</w:t>
      </w:r>
    </w:p>
    <w:p>
      <w:pPr>
        <w:spacing w:after="120"/>
      </w:pPr>
      <w:r>
        <w:rPr>
          <w:rFonts w:ascii="Times New Roman" w:hAnsi="Times New Roman"/>
          <w:b w:val="0"/>
          <w:i w:val="0"/>
          <w:sz w:val="24"/>
        </w:rPr>
        <w:t>The manuscript addresses a critical gap at the intersection of flood control technology and water governance: while the hydro-hegemony framework has illuminated the power dynamics of transboundary water allocation, it has given comparatively less attention to flood risk as a dimension of water power asymmetry. By showing that subsurface storage management can provide downstream states with autonomous flood control capacity, this paper opens a new dimension in debates on water security, climate adaptation, and the politics of flood infrastructure.</w:t>
      </w:r>
    </w:p>
    <w:p>
      <w:pPr>
        <w:spacing w:after="120"/>
      </w:pPr>
      <w:r>
        <w:rPr>
          <w:rFonts w:ascii="Times New Roman" w:hAnsi="Times New Roman"/>
          <w:b w:val="0"/>
          <w:i w:val="0"/>
          <w:sz w:val="24"/>
        </w:rPr>
        <w:t>A simplified feasibility analysis of the Oda River–Takahashi River basin in western Japan, where catastrophic backwater flooding killed 51 people in 2018, demonstrates that such a system can be energy self-sufficient (consuming only 9% of generated power for groundwater pumping) and can create subsurface storage equivalent to 78% of observed flood volumes. The framework's applicability to the Tokyo metropolitan area (8.21 million people in projected inundation zones) and to deltaic and arid-region contexts is also discussed.</w:t>
      </w:r>
    </w:p>
    <w:p>
      <w:pPr>
        <w:spacing w:after="120"/>
      </w:pPr>
      <w:r>
        <w:rPr>
          <w:rFonts w:ascii="Times New Roman" w:hAnsi="Times New Roman"/>
          <w:b w:val="0"/>
          <w:i w:val="0"/>
          <w:sz w:val="24"/>
        </w:rPr>
        <w:t>I believe this manuscript is well suited for Water Policy because it bridges the gap between technical flood management and water governance analysis, directly engaging with the hydro-hegemony framework and international water law while grounding its arguments in quantitative feasibility analysis.</w:t>
      </w:r>
    </w:p>
    <w:p>
      <w:pPr>
        <w:spacing w:after="120"/>
      </w:pPr>
      <w:r>
        <w:rPr>
          <w:rFonts w:ascii="Times New Roman" w:hAnsi="Times New Roman"/>
          <w:b w:val="0"/>
          <w:i w:val="0"/>
          <w:sz w:val="24"/>
        </w:rPr>
        <w:t>This manuscript has not been published previously and is not under consideration by any other journal. All data and simulation code are publicly available. The author declares no conflicts of interest and no external funding was received for this work.</w:t>
      </w:r>
    </w:p>
    <w:p>
      <w:pPr>
        <w:spacing w:after="240"/>
      </w:pPr>
      <w:r>
        <w:rPr>
          <w:rFonts w:ascii="Times New Roman" w:hAnsi="Times New Roman"/>
          <w:b w:val="0"/>
          <w:i w:val="0"/>
          <w:sz w:val="24"/>
        </w:rPr>
        <w:t>Thank you for considering this manuscript. I look forward to your response.</w:t>
      </w:r>
    </w:p>
    <w:p>
      <w:pPr>
        <w:spacing w:after="480"/>
      </w:pPr>
      <w:r>
        <w:rPr>
          <w:rFonts w:ascii="Times New Roman" w:hAnsi="Times New Roman"/>
          <w:b w:val="0"/>
          <w:i w:val="0"/>
          <w:sz w:val="24"/>
        </w:rPr>
        <w:t>Sincerely,</w:t>
      </w:r>
    </w:p>
    <w:p>
      <w:pPr>
        <w:spacing w:after="120"/>
      </w:pPr>
      <w:r>
        <w:rPr>
          <w:rFonts w:ascii="Times New Roman" w:hAnsi="Times New Roman"/>
          <w:b w:val="0"/>
          <w:i w:val="0"/>
          <w:sz w:val="24"/>
        </w:rPr>
        <w:t>Tatsuki Onishi</w:t>
      </w:r>
    </w:p>
    <w:p>
      <w:r>
        <w:rPr>
          <w:rFonts w:ascii="Times New Roman" w:hAnsi="Times New Roman"/>
          <w:i/>
          <w:color w:val="FF0000"/>
          <w:sz w:val="24"/>
        </w:rPr>
        <w:t>(Position, Affiliation)</w:t>
      </w:r>
    </w:p>
    <w:p>
      <w:r>
        <w:rPr>
          <w:rFonts w:ascii="Times New Roman" w:hAnsi="Times New Roman"/>
          <w:i/>
          <w:color w:val="FF0000"/>
          <w:sz w:val="24"/>
        </w:rPr>
        <w:t>(Address)</w:t>
      </w:r>
    </w:p>
    <w:p>
      <w:r>
        <w:rPr>
          <w:rFonts w:ascii="Times New Roman" w:hAnsi="Times New Roman"/>
          <w:i/>
          <w:color w:val="FF0000"/>
          <w:sz w:val="24"/>
        </w:rPr>
        <w:t>(E-mail)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