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Tatsuki Onishi</w:t>
      </w:r>
    </w:p>
    <w:p>
      <w:pPr>
        <w:spacing w:line="360" w:lineRule="auto"/>
      </w:pPr>
      <w:r>
        <w:t>Data Science AI Innovation Research Promotion Center</w:t>
      </w:r>
    </w:p>
    <w:p>
      <w:pPr>
        <w:spacing w:line="360" w:lineRule="auto"/>
      </w:pPr>
      <w:r>
        <w:t>Shiga University</w:t>
      </w:r>
    </w:p>
    <w:p>
      <w:pPr>
        <w:spacing w:line="360" w:lineRule="auto"/>
      </w:pPr>
      <w:r>
        <w:t>1-1-1, Bamba, Hikone, Shiga, 522-8522 Japan</w:t>
      </w:r>
    </w:p>
    <w:p>
      <w:pPr>
        <w:spacing w:line="360" w:lineRule="auto"/>
      </w:pPr>
      <w:r>
        <w:t>Telephone: +81-749-27-1023</w:t>
      </w:r>
    </w:p>
    <w:p>
      <w:pPr>
        <w:spacing w:line="360" w:lineRule="auto"/>
      </w:pPr>
      <w:r>
        <w:t>E-mail: bougtoir@gmail.com</w:t>
      </w:r>
    </w:p>
    <w:p>
      <w:pPr>
        <w:spacing w:line="360" w:lineRule="auto"/>
      </w:pPr>
      <w:r>
        <w:t>ORCID: 0000-0001-7261-9062</w:t>
      </w:r>
    </w:p>
    <w:p>
      <w:pPr>
        <w:spacing w:line="360" w:lineRule="auto"/>
      </w:pPr>
    </w:p>
    <w:p>
      <w:pPr>
        <w:spacing w:line="360" w:lineRule="auto"/>
      </w:pPr>
      <w:r>
        <w:t>8 May 2026</w:t>
      </w:r>
    </w:p>
    <w:p>
      <w:pPr>
        <w:spacing w:line="360" w:lineRule="auto"/>
      </w:pPr>
    </w:p>
    <w:p>
      <w:pPr>
        <w:spacing w:line="360" w:lineRule="auto"/>
      </w:pPr>
      <w:r>
        <w:t>The Editor-in-Chief</w:t>
      </w:r>
    </w:p>
    <w:p>
      <w:pPr>
        <w:spacing w:line="360" w:lineRule="auto"/>
      </w:pPr>
      <w:r>
        <w:rPr>
          <w:i/>
        </w:rPr>
        <w:t>Review of Income and Wealth</w:t>
      </w:r>
    </w:p>
    <w:p>
      <w:pPr>
        <w:spacing w:line="360" w:lineRule="auto"/>
      </w:pPr>
      <w:r>
        <w:t>International Association for Research in Income and Wealth (IARIW)</w:t>
      </w:r>
    </w:p>
    <w:p>
      <w:pPr>
        <w:spacing w:line="360" w:lineRule="auto"/>
      </w:pPr>
    </w:p>
    <w:p>
      <w:pPr>
        <w:spacing w:line="360" w:lineRule="auto"/>
      </w:pPr>
      <w:r>
        <w:t>Dear Editor-in-Chief,</w:t>
      </w:r>
    </w:p>
    <w:p>
      <w:pPr>
        <w:spacing w:line="360" w:lineRule="auto"/>
      </w:pPr>
    </w:p>
    <w:p>
      <w:pPr>
        <w:spacing w:line="360" w:lineRule="auto"/>
      </w:pPr>
      <w:r>
        <w:t xml:space="preserve">I am pleased to submit for your consideration the enclosed manuscript, </w:t>
      </w:r>
      <w:r>
        <w:rPr>
          <w:b/>
        </w:rPr>
        <w:t>"The Forgotten Tempo Effect in Capital Accounting: Investment-to-Output Time-to-Build, Intangible Capital, and the Reconciliation of Flow- and Stock-Based National Wealth Measures"</w:t>
      </w:r>
      <w:r>
        <w:t xml:space="preserve">, as a Research Article for </w:t>
      </w:r>
      <w:r>
        <w:rPr>
          <w:i/>
        </w:rPr>
        <w:t>Review of Income and Wealth</w:t>
      </w:r>
      <w:r>
        <w:t>.</w:t>
      </w:r>
    </w:p>
    <w:p>
      <w:pPr>
        <w:spacing w:line="360" w:lineRule="auto"/>
      </w:pPr>
    </w:p>
    <w:p>
      <w:pPr>
        <w:spacing w:line="360" w:lineRule="auto"/>
      </w:pPr>
      <w:r>
        <w:t>The paper ports the Bongaarts–Feeney–Goldstein–Lutz–Scherbov quantum–tempo decomposition from formal demography to capital accounting. National income and wealth measurement has long lived with two unresolved tensions — a flow side (GDP) that ignores depreciation and intangible assets, and a stock side (Inclusive Wealth, SEEA, the World Bank's Changing Wealth of Nations) that is internally inconsistent and rarely lines up with independently reconstructed capital stocks. I argue that this is not a deep ontological problem but a measurement problem of exactly the form demographers solved twenty years ago: there is a tempo bias in how investment maps into output (a time-varying time-to-build μ(t)), and there is a "forgotten" parameter (the intangible-capital share β) that plays the same balance-sheet role as Goldstein, Lutz, and Scherbov's σ.</w:t>
      </w:r>
    </w:p>
    <w:p>
      <w:pPr>
        <w:spacing w:line="360" w:lineRule="auto"/>
      </w:pPr>
    </w:p>
    <w:p>
      <w:pPr>
        <w:spacing w:line="360" w:lineRule="auto"/>
      </w:pPr>
      <w:r>
        <w:t>The empirical contribution is fourfold. (i) Across 39 OECD and middle-income economies (Penn World Table 10.01, World Bank Changing Wealth of Nations), allowing μ to drift over time reduces the median out-of-sample MAPE of GDP levels on a 2015–2019 holdout from 4.60 % to 3.99 % — a 13 % relative improvement obtained without any new data, any new stochastic machinery, or any loss of single-equation tractability. (ii) A joint production-and-wealth identification rejects μ = 0 for 35/39 countries and β = 0 for 28/39, with bootstrap 95 % regions whose shape varies systematically with R&amp;D intensity. (iii) The same hidden parameters reconcile a within-country trajectory RMSE of 0.049 log units between perpetual-inventory and CWON wealth aggregates. (iv) The Japan PIM–CWON gap, which has been an embarrassment to flow-stock reconciliation for a decade, closes under a γ_price ≈ +0.02 / year revaluation drift consistent with land-price deflation — a fifth hidden parameter that the framework makes explicit rather than absorbing into a residual.</w:t>
      </w:r>
    </w:p>
    <w:p>
      <w:pPr>
        <w:spacing w:line="360" w:lineRule="auto"/>
      </w:pPr>
    </w:p>
    <w:p>
      <w:pPr>
        <w:spacing w:line="360" w:lineRule="auto"/>
      </w:pPr>
      <w:r>
        <w:t xml:space="preserve">I believe this work will interest the readership of </w:t>
      </w:r>
      <w:r>
        <w:rPr>
          <w:i/>
        </w:rPr>
        <w:t>Review of Income and Wealth</w:t>
      </w:r>
      <w:r>
        <w:t xml:space="preserve"> for three reasons. First, the journal has been the primary venue for the Corrado–Hulten–Sichel intangible-capital programme and for IARIW work on wealth accounting; this paper unifies the two sides of that programme inside a single identification framework. Second, the methodology is methodologically cheap and conceptually symmetric with a well-understood demographic precedent, which we hope will make it teachable. Third, the policy implication is direct: Beyond-GDP indices should be audited for internal flow-stock consistency before they are aggregated into composite welfare measures, because the same hidden parameters that distort GDP also distort wealth.</w:t>
      </w:r>
    </w:p>
    <w:p>
      <w:pPr>
        <w:spacing w:line="360" w:lineRule="auto"/>
      </w:pPr>
    </w:p>
    <w:p>
      <w:pPr>
        <w:spacing w:line="360" w:lineRule="auto"/>
      </w:pPr>
      <w:r>
        <w:t>The manuscript is approximately 7,000 words of body text, with five figures, two tables, and full references in author-date style following the IARIW stylesheet I was able to locate. A bilingual (Japanese / English) version of the body is maintained in the public companion repository, but only the English version is submitted for review.</w:t>
      </w:r>
    </w:p>
    <w:p>
      <w:pPr>
        <w:spacing w:line="360" w:lineRule="auto"/>
      </w:pPr>
    </w:p>
    <w:p>
      <w:pPr>
        <w:spacing w:line="360" w:lineRule="auto"/>
      </w:pPr>
      <w:r>
        <w:t>I confirm the following:</w:t>
      </w:r>
    </w:p>
    <w:p>
      <w:pPr>
        <w:spacing w:line="360" w:lineRule="auto"/>
      </w:pPr>
    </w:p>
    <w:p>
      <w:pPr>
        <w:pStyle w:val="ListBullet"/>
        <w:spacing w:line="360" w:lineRule="auto"/>
      </w:pPr>
      <w:r>
        <w:t>This work is original and has not been published elsewhere.</w:t>
      </w:r>
    </w:p>
    <w:p>
      <w:pPr>
        <w:pStyle w:val="ListBullet"/>
        <w:spacing w:line="360" w:lineRule="auto"/>
      </w:pPr>
      <w:r>
        <w:t>The manuscript is not under consideration by any other journal.</w:t>
      </w:r>
    </w:p>
    <w:p>
      <w:pPr>
        <w:pStyle w:val="ListBullet"/>
        <w:spacing w:line="360" w:lineRule="auto"/>
      </w:pPr>
      <w:r>
        <w:t>All data sources used (Penn World Table 10.01; World Bank Changing Wealth of Nations) are publicly available; analysis code, intermediate outputs, and figure-generation scripts are archived in the public companion repository.</w:t>
      </w:r>
    </w:p>
    <w:p>
      <w:pPr>
        <w:pStyle w:val="ListBullet"/>
        <w:spacing w:line="360" w:lineRule="auto"/>
      </w:pPr>
      <w:r>
        <w:t>I am the sole author; the CRediT contribution statement is included on the title page.</w:t>
      </w:r>
    </w:p>
    <w:p>
      <w:pPr>
        <w:pStyle w:val="ListBullet"/>
        <w:spacing w:line="360" w:lineRule="auto"/>
      </w:pPr>
      <w:r>
        <w:t>I have no conflicts of interest, financial or otherwise, related to this work.</w:t>
      </w:r>
    </w:p>
    <w:p>
      <w:pPr>
        <w:pStyle w:val="ListBullet"/>
        <w:spacing w:line="360" w:lineRule="auto"/>
      </w:pPr>
      <w:r>
        <w:t>I used generative AI to help with formatting the text and choosing words that suited the tone, and to help writing codes; this is declared on the title page in accordance with current journal policy.</w:t>
      </w:r>
    </w:p>
    <w:p>
      <w:pPr>
        <w:pStyle w:val="ListBullet"/>
        <w:spacing w:line="360" w:lineRule="auto"/>
      </w:pPr>
      <w:r>
        <w:t>A sister paper applying the same tempo + hidden-parameter framework to sustainable healthcare spending is in preparation; that manuscript will be submitted separately and is referenced as forthcoming work in the present manuscript's Section 6.4.</w:t>
      </w:r>
    </w:p>
    <w:p>
      <w:pPr>
        <w:spacing w:line="360" w:lineRule="auto"/>
      </w:pPr>
    </w:p>
    <w:p>
      <w:pPr>
        <w:spacing w:line="360" w:lineRule="auto"/>
      </w:pPr>
      <w:r>
        <w:t>I would be grateful for your consideration. Suggested reviewers can be provided if desired.</w:t>
      </w:r>
    </w:p>
    <w:p>
      <w:pPr>
        <w:spacing w:line="360" w:lineRule="auto"/>
      </w:pPr>
    </w:p>
    <w:p>
      <w:pPr>
        <w:spacing w:line="360" w:lineRule="auto"/>
      </w:pPr>
      <w:r>
        <w:t>Yours sincerely,</w:t>
      </w:r>
    </w:p>
    <w:p>
      <w:pPr>
        <w:spacing w:line="360" w:lineRule="auto"/>
      </w:pPr>
    </w:p>
    <w:p>
      <w:pPr>
        <w:spacing w:line="360" w:lineRule="auto"/>
      </w:pPr>
      <w:r>
        <w:t>Tatsuki Onishi</w:t>
      </w:r>
    </w:p>
    <w:p>
      <w:pPr>
        <w:spacing w:line="360" w:lineRule="auto"/>
      </w:pPr>
      <w:r>
        <w:t>Data Science AI Innovation Research Promotion Center</w:t>
      </w:r>
    </w:p>
    <w:p>
      <w:pPr>
        <w:spacing w:line="360" w:lineRule="auto"/>
      </w:pPr>
      <w:r>
        <w:t>Shiga University</w:t>
      </w:r>
    </w:p>
    <w:p>
      <w:pPr>
        <w:spacing w:line="360" w:lineRule="auto"/>
      </w:pPr>
      <w:r>
        <w:t>bougtoir@gmail.com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