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t>大西 樹</w:t>
      </w:r>
    </w:p>
    <w:p>
      <w:pPr>
        <w:spacing w:line="360" w:lineRule="auto"/>
      </w:pPr>
      <w:r>
        <w:t>滋賀大学 データサイエンス・AIイノベーション研究推進センター</w:t>
      </w:r>
    </w:p>
    <w:p>
      <w:pPr>
        <w:spacing w:line="360" w:lineRule="auto"/>
      </w:pPr>
      <w:r>
        <w:t>〒522-8522 滋賀県彦根市馬場1-1-1</w:t>
      </w:r>
    </w:p>
    <w:p>
      <w:pPr>
        <w:spacing w:line="360" w:lineRule="auto"/>
      </w:pPr>
      <w:r>
        <w:t>電話：+81-749-27-1023</w:t>
      </w:r>
    </w:p>
    <w:p>
      <w:pPr>
        <w:spacing w:line="360" w:lineRule="auto"/>
      </w:pPr>
      <w:r>
        <w:t>電子メール：bougtoir@gmail.com</w:t>
      </w:r>
    </w:p>
    <w:p>
      <w:pPr>
        <w:spacing w:line="360" w:lineRule="auto"/>
      </w:pPr>
      <w:r>
        <w:t>ORCID：0000-0001-7261-9062</w:t>
      </w:r>
    </w:p>
    <w:p>
      <w:pPr>
        <w:spacing w:line="360" w:lineRule="auto"/>
      </w:pPr>
    </w:p>
    <w:p>
      <w:pPr>
        <w:spacing w:line="360" w:lineRule="auto"/>
      </w:pPr>
      <w:r>
        <w:t>2026年5月8日</w:t>
      </w:r>
    </w:p>
    <w:p>
      <w:pPr>
        <w:spacing w:line="360" w:lineRule="auto"/>
      </w:pPr>
    </w:p>
    <w:p>
      <w:pPr>
        <w:spacing w:line="360" w:lineRule="auto"/>
      </w:pPr>
      <w:r>
        <w:rPr>
          <w:i/>
        </w:rPr>
        <w:t>Review of Income and Wealth</w:t>
      </w:r>
      <w:r>
        <w:t xml:space="preserve"> 編集長 御中</w:t>
      </w:r>
    </w:p>
    <w:p>
      <w:pPr>
        <w:spacing w:line="360" w:lineRule="auto"/>
      </w:pPr>
      <w:r>
        <w:t>International Association for Research in Income and Wealth（IARIW）</w:t>
      </w:r>
    </w:p>
    <w:p>
      <w:pPr>
        <w:spacing w:line="360" w:lineRule="auto"/>
      </w:pPr>
    </w:p>
    <w:p>
      <w:pPr>
        <w:spacing w:line="360" w:lineRule="auto"/>
      </w:pPr>
      <w:r>
        <w:t>拝啓</w:t>
      </w:r>
    </w:p>
    <w:p>
      <w:pPr>
        <w:spacing w:line="360" w:lineRule="auto"/>
      </w:pPr>
    </w:p>
    <w:p>
      <w:pPr>
        <w:spacing w:line="360" w:lineRule="auto"/>
      </w:pPr>
      <w:r>
        <w:t xml:space="preserve">このたび貴誌 </w:t>
      </w:r>
      <w:r>
        <w:rPr>
          <w:i/>
        </w:rPr>
        <w:t>Review of Income and Wealth</w:t>
      </w:r>
      <w:r>
        <w:t xml:space="preserve"> に Research Article として、下記の原稿を投稿いたします。</w:t>
      </w:r>
    </w:p>
    <w:p>
      <w:pPr>
        <w:spacing w:line="360" w:lineRule="auto"/>
      </w:pPr>
    </w:p>
    <w:p>
      <w:pPr>
        <w:spacing w:line="360" w:lineRule="auto"/>
      </w:pPr>
      <w:r>
        <w:rPr>
          <w:b/>
        </w:rPr>
        <w:t>「The Forgotten Tempo Effect in Capital Accounting: Investment-to-Output Time-to-Build, Intangible Capital, and the Reconciliation of Flow- and Stock-Based National Wealth Measures」</w:t>
      </w:r>
    </w:p>
    <w:p>
      <w:pPr>
        <w:spacing w:line="360" w:lineRule="auto"/>
      </w:pPr>
    </w:p>
    <w:p>
      <w:pPr>
        <w:spacing w:line="360" w:lineRule="auto"/>
      </w:pPr>
      <w:r>
        <w:t>本稿は、形式人口学で確立された Bongaarts–Feeney–Goldstein–Lutz–Scherbov の quantum–tempo 分解を資本会計に移植する試みです。国民経済計算における国富計測には、長らく二つの未解消の緊張がありました。一つはフロー側（GDP）が減価償却や無形資産を取りこぼすこと、もう一つはストック側（Inclusive Wealth, SEEA, 世界銀行 CWON 等）が内部整合性に欠け、独立に再構築した資本ストックや互いの値と整合しないこと、です。本稿は、これは存在論的な深い問題ではなく、二〇年前に人口学者が解いた問題と全く同型の計測問題であると主張します。すなわち、投資が産出に変換される過程にはテンポバイアス（時変の time-to-build μ(t)）が存在し、Goldstein–Lutz–Scherbov の σ と同じバランスシート上の役割を果たす「忘れられたパラメータ」（無形資本シェア β）が存在する、ということです。</w:t>
      </w:r>
    </w:p>
    <w:p>
      <w:pPr>
        <w:spacing w:line="360" w:lineRule="auto"/>
      </w:pPr>
    </w:p>
    <w:p>
      <w:pPr>
        <w:spacing w:line="360" w:lineRule="auto"/>
      </w:pPr>
      <w:r>
        <w:t>実証的貢献は四点あります。(i) Penn World Table 10.01 と世界銀行 Changing Wealth of Nations を用いた39の OECD・中所得国において、μ の時変を許すと GDP 水準の標本外 MAPE 中央値（2015–2019 ホールドアウト）が 4.60 % から 3.99 % へ、相対 13 % 改善します。新規データも、新規確率モデルも、単一方程式の可解性も犠牲にすることなく、です。(ii) 生産・国富連立同定は 39 か国中 35 か国で μ = 0 を、28 か国で β = 0 を棄却し、ブートストラップ 95 % 領域の形状は R&amp;D 集約度と系統的に対応します。(iii) 同じ隠れパラメータ群により、PIM 由来と CWON 公表値の国別軌跡 RMSE が log 単位で 0.049 まで縮小します。(iv) 過去 10 年フロー・ストック整合の難点であった日本の PIM–CWON ギャップは、地価デフレと整合的な γ_price ≈ +0.02 / 年の再評価ドリフトで閉じ、フレームは これを残差に押し込まずに第五の隠れパラメータとして明示的に扱います。</w:t>
      </w:r>
    </w:p>
    <w:p>
      <w:pPr>
        <w:spacing w:line="360" w:lineRule="auto"/>
      </w:pPr>
    </w:p>
    <w:p>
      <w:pPr>
        <w:spacing w:line="360" w:lineRule="auto"/>
      </w:pPr>
      <w:r>
        <w:t>本稿が貴誌の読者層に資すると考える理由は三つあります。第一に、貴誌は Corrado–Hulten–Sichel の無形資本研究の主要な発信媒体であり、IARIW の国富会計研究の中心地でもあります。本稿はその両側を単一の同定枠組のもとで統合します。第二に、方法論は安価で、人口学の確立した先例と概念的に対称であり、教育上も扱いやすいと考えます。第三に、政策的含意は直截です ── Beyond-GDP 指標は合成厚生指標へと統合される前に、まず内部のフロー・ストック整合性が監査されるべきであり、その理由は GDP を歪める隠れパラメータが国富を も歪めるからです。</w:t>
      </w:r>
    </w:p>
    <w:p>
      <w:pPr>
        <w:spacing w:line="360" w:lineRule="auto"/>
      </w:pPr>
    </w:p>
    <w:p>
      <w:pPr>
        <w:spacing w:line="360" w:lineRule="auto"/>
      </w:pPr>
      <w:r>
        <w:t>原稿は本文約7,000 語、図 5 点、表 2 点、author-date 形式の参考文献からなります（IARIW スタイルシート準拠）。バイリンガル（日本語・英語）の本文版を公開リポジトリで保守していますが、査読対象は英語版のみです。</w:t>
      </w:r>
    </w:p>
    <w:p>
      <w:pPr>
        <w:spacing w:line="360" w:lineRule="auto"/>
      </w:pPr>
    </w:p>
    <w:p>
      <w:pPr>
        <w:spacing w:line="360" w:lineRule="auto"/>
      </w:pPr>
      <w:r>
        <w:t>下記を確認いたします。</w:t>
      </w:r>
    </w:p>
    <w:p>
      <w:pPr>
        <w:spacing w:line="360" w:lineRule="auto"/>
      </w:pPr>
    </w:p>
    <w:p>
      <w:pPr>
        <w:pStyle w:val="ListBullet"/>
        <w:spacing w:line="360" w:lineRule="auto"/>
      </w:pPr>
      <w:r>
        <w:t>本研究はオリジナルであり、他誌・他媒体に掲載されたことはありません。</w:t>
      </w:r>
    </w:p>
    <w:p>
      <w:pPr>
        <w:pStyle w:val="ListBullet"/>
        <w:spacing w:line="360" w:lineRule="auto"/>
      </w:pPr>
      <w:r>
        <w:t>他誌での査読中ではありません。</w:t>
      </w:r>
    </w:p>
    <w:p>
      <w:pPr>
        <w:pStyle w:val="ListBullet"/>
        <w:spacing w:line="360" w:lineRule="auto"/>
      </w:pPr>
      <w:r>
        <w:t>使用したデータ（Penn World Table 10.01、世界銀行 Changing Wealth of Nations）はいずれも公開データであり、解析コード・中間結果・図表生成スクリプトは公開リポジトリに保管されています。</w:t>
      </w:r>
    </w:p>
    <w:p>
      <w:pPr>
        <w:pStyle w:val="ListBullet"/>
        <w:spacing w:line="360" w:lineRule="auto"/>
      </w:pPr>
      <w:r>
        <w:t>単著であり、CRediT 寄与記述はタイトルページに記載しています。</w:t>
      </w:r>
    </w:p>
    <w:p>
      <w:pPr>
        <w:pStyle w:val="ListBullet"/>
        <w:spacing w:line="360" w:lineRule="auto"/>
      </w:pPr>
      <w:r>
        <w:t>経済的・その他いかなる利益相反もありません。</w:t>
      </w:r>
    </w:p>
    <w:p>
      <w:pPr>
        <w:pStyle w:val="ListBullet"/>
        <w:spacing w:line="360" w:lineRule="auto"/>
      </w:pPr>
      <w:r>
        <w:t>文章の整形・語感調整・コード作成支援に生成 AI を使用しました。本旨は貴誌の現行ポリシーに従いタイトルページにて開示しています。</w:t>
      </w:r>
    </w:p>
    <w:p>
      <w:pPr>
        <w:pStyle w:val="ListBullet"/>
        <w:spacing w:line="360" w:lineRule="auto"/>
      </w:pPr>
      <w:r>
        <w:t>同一のテンポ＋隠れパラメータ枠組を「持続可能な医療費構成」に適用する姉妹論文を準備中であり、別途投稿予定です。本稿§6.4 で forthcoming として参照しています。</w:t>
      </w:r>
    </w:p>
    <w:p>
      <w:pPr>
        <w:spacing w:line="360" w:lineRule="auto"/>
      </w:pPr>
    </w:p>
    <w:p>
      <w:pPr>
        <w:spacing w:line="360" w:lineRule="auto"/>
      </w:pPr>
      <w:r>
        <w:t>ご検討のほど、何卒よろしくお願い申し上げます。希望される場合、推薦査読者を別途お送りいたします。</w:t>
      </w:r>
    </w:p>
    <w:p>
      <w:pPr>
        <w:spacing w:line="360" w:lineRule="auto"/>
      </w:pPr>
    </w:p>
    <w:p>
      <w:pPr>
        <w:spacing w:line="360" w:lineRule="auto"/>
      </w:pPr>
      <w:r>
        <w:t>敬具</w:t>
      </w:r>
    </w:p>
    <w:p>
      <w:pPr>
        <w:spacing w:line="360" w:lineRule="auto"/>
      </w:pPr>
    </w:p>
    <w:p>
      <w:pPr>
        <w:spacing w:line="360" w:lineRule="auto"/>
      </w:pPr>
      <w:r>
        <w:t>大西 樹</w:t>
      </w:r>
    </w:p>
    <w:p>
      <w:pPr>
        <w:spacing w:line="360" w:lineRule="auto"/>
      </w:pPr>
      <w:r>
        <w:t>滋賀大学 データサイエンス・AIイノベーション研究推進センター</w:t>
      </w:r>
    </w:p>
    <w:p>
      <w:pPr>
        <w:spacing w:line="360" w:lineRule="auto"/>
      </w:pPr>
      <w:r>
        <w:t>bougtoir@gmail.com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