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Times New Roman" w:hAnsi="Times New Roman" w:eastAsia="MS Mincho"/>
          <w:b/>
          <w:i w:val="0"/>
          <w:sz w:val="26"/>
        </w:rPr>
        <w:t>Table 3. Relational PIM diagnostics: rho_2 summary under M0, M1, M2, M4.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Model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rho2 median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rho2 IQR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rho1 median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R2 median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N(rho2 in 0.9-1.1)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N total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0.801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[0.701, 0.911]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-7.51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0.991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0.799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[0.651, 0.911]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-7.25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0.988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0.799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[0.663, 0.924]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-7.19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0.986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0.833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[0.715, 0.930]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-8.32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0.991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