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医療費は経済効果である</w:t>
        <w:br/>
        <w:t>— 産業連関乗数・健康資本テンポ効果・三層テンポ構造に基づく</w:t>
        <w:br/>
        <w:t>ニュートラルな持続可能性フレームワーク</w:t>
      </w:r>
    </w:p>
    <w:p>
      <w:pPr>
        <w:pStyle w:val="Heading1"/>
      </w:pPr>
      <w:r>
        <w:t>要旨</w:t>
      </w:r>
    </w:p>
    <w:p>
      <w:r>
        <w:t>医療費は従来、財政上の「コスト」として抑制すべき対象と位置づけられてきた。しかし産業連関（I-O）分析によれば、医療支出1単位あたり日本では2.78倍の経済波及効果が生じ</w:t>
      </w:r>
      <w:r>
        <w:rPr>
          <w:sz w:val="16"/>
          <w:vertAlign w:val="superscript"/>
        </w:rPr>
        <w:t>1</w:t>
      </w:r>
      <w:r>
        <w:t>、OECD諸国でも1.7〜2.9倍の乗数効果が報告されている</w:t>
      </w:r>
      <w:r>
        <w:rPr>
          <w:sz w:val="16"/>
          <w:vertAlign w:val="superscript"/>
        </w:rPr>
        <w:t>2-4</w:t>
      </w:r>
      <w:r>
        <w:t>。さらにHealth-Led Growth Hypothesis (HLGH) の実証研究は、医療支出とGDP成長の間に双方向の因果関係が存在することを示している</w:t>
      </w:r>
      <w:r>
        <w:rPr>
          <w:sz w:val="16"/>
          <w:vertAlign w:val="superscript"/>
        </w:rPr>
        <w:t>5-8</w:t>
      </w:r>
      <w:r>
        <w:t>。本稿では、人口学のBongaarts-Feeney テンポ効果</w:t>
      </w:r>
      <w:r>
        <w:rPr>
          <w:sz w:val="16"/>
          <w:vertAlign w:val="superscript"/>
        </w:rPr>
        <w:t>9</w:t>
      </w:r>
      <w:r>
        <w:t>をGDP資本会計</w:t>
      </w:r>
      <w:r>
        <w:rPr>
          <w:sz w:val="16"/>
          <w:vertAlign w:val="superscript"/>
        </w:rPr>
        <w:t>10</w:t>
      </w:r>
      <w:r>
        <w:t>さらに医療支出</w:t>
      </w:r>
      <w:r>
        <w:rPr>
          <w:sz w:val="16"/>
          <w:vertAlign w:val="superscript"/>
        </w:rPr>
        <w:t>11</w:t>
      </w:r>
      <w:r>
        <w:t>へと三層的に移植する枠組みを基盤とし、(1) I-O乗数による需要側リターン、(2) 健康資本ストックのテンポ効果による供給側リターンを統合した「ニュートラルな持続可能性基準」を提案する。13か国のデータを用いた分析では、需要側のみの財政回収率（τ·m / pf）が1.0を超えたのは5か国であったが、残りの国も0.76〜0.96と大部分を回収していた。供給側リターンを加味すれば大半の国で持続可能性が成立しうる。また、healthcare_tempo_pocの候補モデル仕様（Candidate）A-Hによる39か国分析では、テンポモデル（M2）が定数ラグモデル（M1）を95%の国で上回り（μ_H1 = +0.15年/年）</w:t>
      </w:r>
      <w:r>
        <w:rPr>
          <w:sz w:val="16"/>
          <w:vertAlign w:val="superscript"/>
        </w:rPr>
        <w:t>11</w:t>
      </w:r>
      <w:r>
        <w:t>、フロー指標のみの評価がリターンを系統的に過小評価していることが確認された。</w:t>
      </w:r>
    </w:p>
    <w:p>
      <w:pPr>
        <w:pStyle w:val="Heading1"/>
      </w:pPr>
      <w:r>
        <w:t>1. はじめに</w:t>
      </w:r>
    </w:p>
    <w:p>
      <w:r>
        <w:t>日本政府は2005年の「骨太の方針」以来、国民医療費の伸びの抑制を政策目標としてきた。2019年の日本の対GDP保健医療支出は11.0%でOECD38か国中第5位であり</w:t>
      </w:r>
      <w:r>
        <w:rPr>
          <w:sz w:val="16"/>
          <w:vertAlign w:val="superscript"/>
        </w:rPr>
        <w:t>12</w:t>
      </w:r>
      <w:r>
        <w:t>、高齢化の進行とともに医療費の「持続可能性」は中心的な政策課題となっている</w:t>
      </w:r>
      <w:r>
        <w:rPr>
          <w:sz w:val="16"/>
          <w:vertAlign w:val="superscript"/>
        </w:rPr>
        <w:t>13</w:t>
      </w:r>
      <w:r>
        <w:t>。</w:t>
      </w:r>
    </w:p>
    <w:p>
      <w:r>
        <w:t>しかし、この議論はほぼ一貫して医療費を「コスト」として扱い、抑制・効率化の対象としてのみ位置づけてきた。一方で、医療は産業としてサプライチェーン全体に経済波及効果を及ぼし、雇用を創出し、税収を生み出す。前田（2008）は日本の医療が周辺産業を含めて689万人の雇用を支え、生産波及効果はサービス業中最大であると報告した</w:t>
      </w:r>
      <w:r>
        <w:rPr>
          <w:sz w:val="16"/>
          <w:vertAlign w:val="superscript"/>
        </w:rPr>
        <w:t>14</w:t>
      </w:r>
      <w:r>
        <w:t>。Yamada &amp; Imanaka（2015）はI-O分析により、医療の経済波及乗数が2.78倍（95% CI: 2.74-2.90）であることを示した</w:t>
      </w:r>
      <w:r>
        <w:rPr>
          <w:sz w:val="16"/>
          <w:vertAlign w:val="superscript"/>
        </w:rPr>
        <w:t>1</w:t>
      </w:r>
      <w:r>
        <w:t>。</w:t>
      </w:r>
    </w:p>
    <w:p>
      <w:r>
        <w:t>本稿の目的は、医療費を「コストでもあり経済効果でもある」というニュートラルな立場から再評価し、持続可能性を需要側（I-O乗数）と供給側（健康資本ストック）の二重リターンの観点から定式化することである。特に、人口学のテンポ効果</w:t>
      </w:r>
      <w:r>
        <w:rPr>
          <w:sz w:val="16"/>
          <w:vertAlign w:val="superscript"/>
        </w:rPr>
        <w:t>9</w:t>
      </w:r>
      <w:r>
        <w:t>がGDP資本会計</w:t>
      </w:r>
      <w:r>
        <w:rPr>
          <w:sz w:val="16"/>
          <w:vertAlign w:val="superscript"/>
        </w:rPr>
        <w:t>10</w:t>
      </w:r>
      <w:r>
        <w:t>さらに医療</w:t>
      </w:r>
      <w:r>
        <w:rPr>
          <w:sz w:val="16"/>
          <w:vertAlign w:val="superscript"/>
        </w:rPr>
        <w:t>11</w:t>
      </w:r>
      <w:r>
        <w:t>へと三層的に移植される構造を明示し、フロー偏重の政策評価がいかに投資リターンを過小評価しているかを示す。</w:t>
      </w:r>
    </w:p>
    <w:p>
      <w:pPr>
        <w:pStyle w:val="Heading1"/>
      </w:pPr>
      <w:r>
        <w:t>2. 背景：医療費の二面性</w:t>
      </w:r>
    </w:p>
    <w:p>
      <w:pPr>
        <w:pStyle w:val="Heading2"/>
      </w:pPr>
      <w:r>
        <w:t>2.1 需要側：産業連関乗数</w:t>
      </w:r>
    </w:p>
    <w:p>
      <w:r>
        <w:t>産業連関分析（Input-Output analysis）はLeontief（1936）に端を発する手法で、ある産業への最終需要が直接効果・間接効果・誘発効果を通じて経済全体にどれだけの生産を誘発するかを定量化する。医療セクターについて、各国の推計値を図1および表1に示す。対象国の選定は、(a) 査読付きジャーナルまたは政府公式報告書で医療セクターのI-O乗数が公表されている国、(b) EU加盟国についてはGutierrez-Hernandez &amp; Abasolo-Alesson（2021）</w:t>
      </w:r>
      <w:r>
        <w:rPr>
          <w:sz w:val="16"/>
          <w:vertAlign w:val="superscript"/>
        </w:rPr>
        <w:t>4</w:t>
      </w:r>
      <w:r>
        <w:t>のEU-28産業連関フレームワーク分析で後方連関係数が報告されている国、の基準に基づく。</w:t>
      </w:r>
    </w:p>
    <w:p>
      <w:pPr>
        <w:jc w:val="center"/>
      </w:pPr>
      <w:r>
        <w:drawing>
          <wp:inline xmlns:a="http://schemas.openxmlformats.org/drawingml/2006/main" xmlns:pic="http://schemas.openxmlformats.org/drawingml/2006/picture">
            <wp:extent cx="5029200" cy="3352800"/>
            <wp:docPr id="1" name="Picture 1"/>
            <wp:cNvGraphicFramePr>
              <a:graphicFrameLocks noChangeAspect="1"/>
            </wp:cNvGraphicFramePr>
            <a:graphic>
              <a:graphicData uri="http://schemas.openxmlformats.org/drawingml/2006/picture">
                <pic:pic>
                  <pic:nvPicPr>
                    <pic:cNvPr id="0" name="fig1_io_multipliers.png"/>
                    <pic:cNvPicPr/>
                  </pic:nvPicPr>
                  <pic:blipFill>
                    <a:blip r:embed="rId9"/>
                    <a:stretch>
                      <a:fillRect/>
                    </a:stretch>
                  </pic:blipFill>
                  <pic:spPr>
                    <a:xfrm>
                      <a:off x="0" y="0"/>
                      <a:ext cx="5029200" cy="3352800"/>
                    </a:xfrm>
                    <a:prstGeom prst="rect"/>
                  </pic:spPr>
                </pic:pic>
              </a:graphicData>
            </a:graphic>
          </wp:inline>
        </w:drawing>
      </w:r>
    </w:p>
    <w:p>
      <w:pPr>
        <w:spacing w:before="120" w:after="240"/>
        <w:jc w:val="center"/>
      </w:pPr>
      <w:r>
        <w:rPr>
          <w:i/>
          <w:sz w:val="18"/>
        </w:rPr>
        <w:t>図1. 各国の医療セクターI-O乗数の比較</w:t>
      </w:r>
    </w:p>
    <w:p>
      <w:pPr>
        <w:spacing w:after="80"/>
      </w:pPr>
      <w:r>
        <w:rPr>
          <w:i/>
          <w:sz w:val="18"/>
        </w:rPr>
        <w:t>表1. 医療セクターの産業連関乗数（各国比較）</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国</w:t>
            </w:r>
          </w:p>
        </w:tc>
        <w:tc>
          <w:tcPr>
            <w:tcW w:type="dxa" w:w="2160"/>
          </w:tcPr>
          <w:p>
            <w:r>
              <w:rPr>
                <w:b/>
                <w:sz w:val="18"/>
              </w:rPr>
              <w:t>乗数</w:t>
            </w:r>
          </w:p>
        </w:tc>
        <w:tc>
          <w:tcPr>
            <w:tcW w:type="dxa" w:w="2160"/>
          </w:tcPr>
          <w:p>
            <w:r>
              <w:rPr>
                <w:b/>
                <w:sz w:val="18"/>
              </w:rPr>
              <w:t>基準年</w:t>
            </w:r>
          </w:p>
        </w:tc>
        <w:tc>
          <w:tcPr>
            <w:tcW w:type="dxa" w:w="2160"/>
          </w:tcPr>
          <w:p>
            <w:r>
              <w:rPr>
                <w:b/>
                <w:sz w:val="18"/>
              </w:rPr>
              <w:t>出典</w:t>
            </w:r>
          </w:p>
        </w:tc>
      </w:tr>
      <w:tr>
        <w:tc>
          <w:tcPr>
            <w:tcW w:type="dxa" w:w="2160"/>
          </w:tcPr>
          <w:p>
            <w:r>
              <w:rPr>
                <w:sz w:val="18"/>
              </w:rPr>
              <w:t>Japan</w:t>
            </w:r>
          </w:p>
        </w:tc>
        <w:tc>
          <w:tcPr>
            <w:tcW w:type="dxa" w:w="2160"/>
          </w:tcPr>
          <w:p>
            <w:r>
              <w:rPr>
                <w:sz w:val="18"/>
              </w:rPr>
              <w:t>2.78</w:t>
            </w:r>
          </w:p>
        </w:tc>
        <w:tc>
          <w:tcPr>
            <w:tcW w:type="dxa" w:w="2160"/>
          </w:tcPr>
          <w:p>
            <w:r>
              <w:rPr>
                <w:sz w:val="18"/>
              </w:rPr>
              <w:t>2011</w:t>
            </w:r>
          </w:p>
        </w:tc>
        <w:tc>
          <w:tcPr>
            <w:tcW w:type="dxa" w:w="2160"/>
          </w:tcPr>
          <w:p>
            <w:r>
              <w:rPr>
                <w:sz w:val="18"/>
              </w:rPr>
              <w:t>Yamada &amp; Imanaka 2015</w:t>
            </w:r>
          </w:p>
        </w:tc>
      </w:tr>
      <w:tr>
        <w:tc>
          <w:tcPr>
            <w:tcW w:type="dxa" w:w="2160"/>
          </w:tcPr>
          <w:p>
            <w:r>
              <w:rPr>
                <w:sz w:val="18"/>
              </w:rPr>
              <w:t>Japan (JMARI)</w:t>
            </w:r>
          </w:p>
        </w:tc>
        <w:tc>
          <w:tcPr>
            <w:tcW w:type="dxa" w:w="2160"/>
          </w:tcPr>
          <w:p>
            <w:r>
              <w:rPr>
                <w:sz w:val="18"/>
              </w:rPr>
              <w:t>2.85</w:t>
            </w:r>
          </w:p>
        </w:tc>
        <w:tc>
          <w:tcPr>
            <w:tcW w:type="dxa" w:w="2160"/>
          </w:tcPr>
          <w:p>
            <w:r>
              <w:rPr>
                <w:sz w:val="18"/>
              </w:rPr>
              <w:t>2006</w:t>
            </w:r>
          </w:p>
        </w:tc>
        <w:tc>
          <w:tcPr>
            <w:tcW w:type="dxa" w:w="2160"/>
          </w:tcPr>
          <w:p>
            <w:r>
              <w:rPr>
                <w:sz w:val="18"/>
              </w:rPr>
              <w:t>Maeda 2008 (JMARI WP172)</w:t>
            </w:r>
          </w:p>
        </w:tc>
      </w:tr>
      <w:tr>
        <w:tc>
          <w:tcPr>
            <w:tcW w:type="dxa" w:w="2160"/>
          </w:tcPr>
          <w:p>
            <w:r>
              <w:rPr>
                <w:sz w:val="18"/>
              </w:rPr>
              <w:t>France</w:t>
            </w:r>
          </w:p>
        </w:tc>
        <w:tc>
          <w:tcPr>
            <w:tcW w:type="dxa" w:w="2160"/>
          </w:tcPr>
          <w:p>
            <w:r>
              <w:rPr>
                <w:sz w:val="18"/>
              </w:rPr>
              <w:t>2.2</w:t>
            </w:r>
          </w:p>
        </w:tc>
        <w:tc>
          <w:tcPr>
            <w:tcW w:type="dxa" w:w="2160"/>
          </w:tcPr>
          <w:p>
            <w:r>
              <w:rPr>
                <w:sz w:val="18"/>
              </w:rPr>
              <w:t>2010</w:t>
            </w:r>
          </w:p>
        </w:tc>
        <w:tc>
          <w:tcPr>
            <w:tcW w:type="dxa" w:w="2160"/>
          </w:tcPr>
          <w:p>
            <w:r>
              <w:rPr>
                <w:sz w:val="18"/>
              </w:rPr>
              <w:t>Gutierrez-Hernandez &amp; Abasolo-Alesson 2021</w:t>
            </w:r>
          </w:p>
        </w:tc>
      </w:tr>
      <w:tr>
        <w:tc>
          <w:tcPr>
            <w:tcW w:type="dxa" w:w="2160"/>
          </w:tcPr>
          <w:p>
            <w:r>
              <w:rPr>
                <w:sz w:val="18"/>
              </w:rPr>
              <w:t>Germany</w:t>
            </w:r>
          </w:p>
        </w:tc>
        <w:tc>
          <w:tcPr>
            <w:tcW w:type="dxa" w:w="2160"/>
          </w:tcPr>
          <w:p>
            <w:r>
              <w:rPr>
                <w:sz w:val="18"/>
              </w:rPr>
              <w:t>2.1</w:t>
            </w:r>
          </w:p>
        </w:tc>
        <w:tc>
          <w:tcPr>
            <w:tcW w:type="dxa" w:w="2160"/>
          </w:tcPr>
          <w:p>
            <w:r>
              <w:rPr>
                <w:sz w:val="18"/>
              </w:rPr>
              <w:t>2014</w:t>
            </w:r>
          </w:p>
        </w:tc>
        <w:tc>
          <w:tcPr>
            <w:tcW w:type="dxa" w:w="2160"/>
          </w:tcPr>
          <w:p>
            <w:r>
              <w:rPr>
                <w:sz w:val="18"/>
              </w:rPr>
              <w:t>Henke &amp; Ostwald 2012 (GGR estimate)</w:t>
            </w:r>
          </w:p>
        </w:tc>
      </w:tr>
      <w:tr>
        <w:tc>
          <w:tcPr>
            <w:tcW w:type="dxa" w:w="2160"/>
          </w:tcPr>
          <w:p>
            <w:r>
              <w:rPr>
                <w:sz w:val="18"/>
              </w:rPr>
              <w:t>Sweden</w:t>
            </w:r>
          </w:p>
        </w:tc>
        <w:tc>
          <w:tcPr>
            <w:tcW w:type="dxa" w:w="2160"/>
          </w:tcPr>
          <w:p>
            <w:r>
              <w:rPr>
                <w:sz w:val="18"/>
              </w:rPr>
              <w:t>2.05</w:t>
            </w:r>
          </w:p>
        </w:tc>
        <w:tc>
          <w:tcPr>
            <w:tcW w:type="dxa" w:w="2160"/>
          </w:tcPr>
          <w:p>
            <w:r>
              <w:rPr>
                <w:sz w:val="18"/>
              </w:rPr>
              <w:t>2010</w:t>
            </w:r>
          </w:p>
        </w:tc>
        <w:tc>
          <w:tcPr>
            <w:tcW w:type="dxa" w:w="2160"/>
          </w:tcPr>
          <w:p>
            <w:r>
              <w:rPr>
                <w:sz w:val="18"/>
              </w:rPr>
              <w:t>Gutierrez-Hernandez &amp; Abasolo-Alesson 2021</w:t>
            </w:r>
          </w:p>
        </w:tc>
      </w:tr>
      <w:tr>
        <w:tc>
          <w:tcPr>
            <w:tcW w:type="dxa" w:w="2160"/>
          </w:tcPr>
          <w:p>
            <w:r>
              <w:rPr>
                <w:sz w:val="18"/>
              </w:rPr>
              <w:t>Netherlands</w:t>
            </w:r>
          </w:p>
        </w:tc>
        <w:tc>
          <w:tcPr>
            <w:tcW w:type="dxa" w:w="2160"/>
          </w:tcPr>
          <w:p>
            <w:r>
              <w:rPr>
                <w:sz w:val="18"/>
              </w:rPr>
              <w:t>2.0</w:t>
            </w:r>
          </w:p>
        </w:tc>
        <w:tc>
          <w:tcPr>
            <w:tcW w:type="dxa" w:w="2160"/>
          </w:tcPr>
          <w:p>
            <w:r>
              <w:rPr>
                <w:sz w:val="18"/>
              </w:rPr>
              <w:t>2010</w:t>
            </w:r>
          </w:p>
        </w:tc>
        <w:tc>
          <w:tcPr>
            <w:tcW w:type="dxa" w:w="2160"/>
          </w:tcPr>
          <w:p>
            <w:r>
              <w:rPr>
                <w:sz w:val="18"/>
              </w:rPr>
              <w:t>Gutierrez-Hernandez &amp; Abasolo-Alesson 2021</w:t>
            </w:r>
          </w:p>
        </w:tc>
      </w:tr>
      <w:tr>
        <w:tc>
          <w:tcPr>
            <w:tcW w:type="dxa" w:w="2160"/>
          </w:tcPr>
          <w:p>
            <w:r>
              <w:rPr>
                <w:sz w:val="18"/>
              </w:rPr>
              <w:t>Italy</w:t>
            </w:r>
          </w:p>
        </w:tc>
        <w:tc>
          <w:tcPr>
            <w:tcW w:type="dxa" w:w="2160"/>
          </w:tcPr>
          <w:p>
            <w:r>
              <w:rPr>
                <w:sz w:val="18"/>
              </w:rPr>
              <w:t>1.95</w:t>
            </w:r>
          </w:p>
        </w:tc>
        <w:tc>
          <w:tcPr>
            <w:tcW w:type="dxa" w:w="2160"/>
          </w:tcPr>
          <w:p>
            <w:r>
              <w:rPr>
                <w:sz w:val="18"/>
              </w:rPr>
              <w:t>2010</w:t>
            </w:r>
          </w:p>
        </w:tc>
        <w:tc>
          <w:tcPr>
            <w:tcW w:type="dxa" w:w="2160"/>
          </w:tcPr>
          <w:p>
            <w:r>
              <w:rPr>
                <w:sz w:val="18"/>
              </w:rPr>
              <w:t>Gutierrez-Hernandez &amp; Abasolo-Alesson 2021</w:t>
            </w:r>
          </w:p>
        </w:tc>
      </w:tr>
      <w:tr>
        <w:tc>
          <w:tcPr>
            <w:tcW w:type="dxa" w:w="2160"/>
          </w:tcPr>
          <w:p>
            <w:r>
              <w:rPr>
                <w:sz w:val="18"/>
              </w:rPr>
              <w:t>Korea</w:t>
            </w:r>
          </w:p>
        </w:tc>
        <w:tc>
          <w:tcPr>
            <w:tcW w:type="dxa" w:w="2160"/>
          </w:tcPr>
          <w:p>
            <w:r>
              <w:rPr>
                <w:sz w:val="18"/>
              </w:rPr>
              <w:t>1.95</w:t>
            </w:r>
          </w:p>
        </w:tc>
        <w:tc>
          <w:tcPr>
            <w:tcW w:type="dxa" w:w="2160"/>
          </w:tcPr>
          <w:p>
            <w:r>
              <w:rPr>
                <w:sz w:val="18"/>
              </w:rPr>
              <w:t>2015</w:t>
            </w:r>
          </w:p>
        </w:tc>
        <w:tc>
          <w:tcPr>
            <w:tcW w:type="dxa" w:w="2160"/>
          </w:tcPr>
          <w:p>
            <w:r>
              <w:rPr>
                <w:sz w:val="18"/>
              </w:rPr>
              <w:t>Bank of Korea I-O Tables 2019</w:t>
            </w:r>
          </w:p>
        </w:tc>
      </w:tr>
      <w:tr>
        <w:tc>
          <w:tcPr>
            <w:tcW w:type="dxa" w:w="2160"/>
          </w:tcPr>
          <w:p>
            <w:r>
              <w:rPr>
                <w:sz w:val="18"/>
              </w:rPr>
              <w:t>United Kingdom</w:t>
            </w:r>
          </w:p>
        </w:tc>
        <w:tc>
          <w:tcPr>
            <w:tcW w:type="dxa" w:w="2160"/>
          </w:tcPr>
          <w:p>
            <w:r>
              <w:rPr>
                <w:sz w:val="18"/>
              </w:rPr>
              <w:t>1.9</w:t>
            </w:r>
          </w:p>
        </w:tc>
        <w:tc>
          <w:tcPr>
            <w:tcW w:type="dxa" w:w="2160"/>
          </w:tcPr>
          <w:p>
            <w:r>
              <w:rPr>
                <w:sz w:val="18"/>
              </w:rPr>
              <w:t>2016</w:t>
            </w:r>
          </w:p>
        </w:tc>
        <w:tc>
          <w:tcPr>
            <w:tcW w:type="dxa" w:w="2160"/>
          </w:tcPr>
          <w:p>
            <w:r>
              <w:rPr>
                <w:sz w:val="18"/>
              </w:rPr>
              <w:t>ONS Health SUT / King's Fund 2018</w:t>
            </w:r>
          </w:p>
        </w:tc>
      </w:tr>
      <w:tr>
        <w:tc>
          <w:tcPr>
            <w:tcW w:type="dxa" w:w="2160"/>
          </w:tcPr>
          <w:p>
            <w:r>
              <w:rPr>
                <w:sz w:val="18"/>
              </w:rPr>
              <w:t>Finland</w:t>
            </w:r>
          </w:p>
        </w:tc>
        <w:tc>
          <w:tcPr>
            <w:tcW w:type="dxa" w:w="2160"/>
          </w:tcPr>
          <w:p>
            <w:r>
              <w:rPr>
                <w:sz w:val="18"/>
              </w:rPr>
              <w:t>1.88</w:t>
            </w:r>
          </w:p>
        </w:tc>
        <w:tc>
          <w:tcPr>
            <w:tcW w:type="dxa" w:w="2160"/>
          </w:tcPr>
          <w:p>
            <w:r>
              <w:rPr>
                <w:sz w:val="18"/>
              </w:rPr>
              <w:t>2010</w:t>
            </w:r>
          </w:p>
        </w:tc>
        <w:tc>
          <w:tcPr>
            <w:tcW w:type="dxa" w:w="2160"/>
          </w:tcPr>
          <w:p>
            <w:r>
              <w:rPr>
                <w:sz w:val="18"/>
              </w:rPr>
              <w:t>Gutierrez-Hernandez &amp; Abasolo-Alesson 2021</w:t>
            </w:r>
          </w:p>
        </w:tc>
      </w:tr>
      <w:tr>
        <w:tc>
          <w:tcPr>
            <w:tcW w:type="dxa" w:w="2160"/>
          </w:tcPr>
          <w:p>
            <w:r>
              <w:rPr>
                <w:sz w:val="18"/>
              </w:rPr>
              <w:t>Spain</w:t>
            </w:r>
          </w:p>
        </w:tc>
        <w:tc>
          <w:tcPr>
            <w:tcW w:type="dxa" w:w="2160"/>
          </w:tcPr>
          <w:p>
            <w:r>
              <w:rPr>
                <w:sz w:val="18"/>
              </w:rPr>
              <w:t>1.85</w:t>
            </w:r>
          </w:p>
        </w:tc>
        <w:tc>
          <w:tcPr>
            <w:tcW w:type="dxa" w:w="2160"/>
          </w:tcPr>
          <w:p>
            <w:r>
              <w:rPr>
                <w:sz w:val="18"/>
              </w:rPr>
              <w:t>2010</w:t>
            </w:r>
          </w:p>
        </w:tc>
        <w:tc>
          <w:tcPr>
            <w:tcW w:type="dxa" w:w="2160"/>
          </w:tcPr>
          <w:p>
            <w:r>
              <w:rPr>
                <w:sz w:val="18"/>
              </w:rPr>
              <w:t>Gutierrez-Hernandez &amp; Abasolo-Alesson 2021</w:t>
            </w:r>
          </w:p>
        </w:tc>
      </w:tr>
      <w:tr>
        <w:tc>
          <w:tcPr>
            <w:tcW w:type="dxa" w:w="2160"/>
          </w:tcPr>
          <w:p>
            <w:r>
              <w:rPr>
                <w:sz w:val="18"/>
              </w:rPr>
              <w:t>Australia</w:t>
            </w:r>
          </w:p>
        </w:tc>
        <w:tc>
          <w:tcPr>
            <w:tcW w:type="dxa" w:w="2160"/>
          </w:tcPr>
          <w:p>
            <w:r>
              <w:rPr>
                <w:sz w:val="18"/>
              </w:rPr>
              <w:t>1.85</w:t>
            </w:r>
          </w:p>
        </w:tc>
        <w:tc>
          <w:tcPr>
            <w:tcW w:type="dxa" w:w="2160"/>
          </w:tcPr>
          <w:p>
            <w:r>
              <w:rPr>
                <w:sz w:val="18"/>
              </w:rPr>
              <w:t>2015</w:t>
            </w:r>
          </w:p>
        </w:tc>
        <w:tc>
          <w:tcPr>
            <w:tcW w:type="dxa" w:w="2160"/>
          </w:tcPr>
          <w:p>
            <w:r>
              <w:rPr>
                <w:sz w:val="18"/>
              </w:rPr>
              <w:t>AIHW / Deloitte Access Economics 2016</w:t>
            </w:r>
          </w:p>
        </w:tc>
      </w:tr>
      <w:tr>
        <w:tc>
          <w:tcPr>
            <w:tcW w:type="dxa" w:w="2160"/>
          </w:tcPr>
          <w:p>
            <w:r>
              <w:rPr>
                <w:sz w:val="18"/>
              </w:rPr>
              <w:t>Canada</w:t>
            </w:r>
          </w:p>
        </w:tc>
        <w:tc>
          <w:tcPr>
            <w:tcW w:type="dxa" w:w="2160"/>
          </w:tcPr>
          <w:p>
            <w:r>
              <w:rPr>
                <w:sz w:val="18"/>
              </w:rPr>
              <w:t>1.82</w:t>
            </w:r>
          </w:p>
        </w:tc>
        <w:tc>
          <w:tcPr>
            <w:tcW w:type="dxa" w:w="2160"/>
          </w:tcPr>
          <w:p>
            <w:r>
              <w:rPr>
                <w:sz w:val="18"/>
              </w:rPr>
              <w:t>2009</w:t>
            </w:r>
          </w:p>
        </w:tc>
        <w:tc>
          <w:tcPr>
            <w:tcW w:type="dxa" w:w="2160"/>
          </w:tcPr>
          <w:p>
            <w:r>
              <w:rPr>
                <w:sz w:val="18"/>
              </w:rPr>
              <w:t>CIHI / Conference Board 2013</w:t>
            </w:r>
          </w:p>
        </w:tc>
      </w:tr>
      <w:tr>
        <w:tc>
          <w:tcPr>
            <w:tcW w:type="dxa" w:w="2160"/>
          </w:tcPr>
          <w:p>
            <w:r>
              <w:rPr>
                <w:sz w:val="18"/>
              </w:rPr>
              <w:t>United States (Medicare)</w:t>
            </w:r>
          </w:p>
        </w:tc>
        <w:tc>
          <w:tcPr>
            <w:tcW w:type="dxa" w:w="2160"/>
          </w:tcPr>
          <w:p>
            <w:r>
              <w:rPr>
                <w:sz w:val="18"/>
              </w:rPr>
              <w:t>1.7</w:t>
            </w:r>
          </w:p>
        </w:tc>
        <w:tc>
          <w:tcPr>
            <w:tcW w:type="dxa" w:w="2160"/>
          </w:tcPr>
          <w:p>
            <w:r>
              <w:rPr>
                <w:sz w:val="18"/>
              </w:rPr>
              <w:t>2017</w:t>
            </w:r>
          </w:p>
        </w:tc>
        <w:tc>
          <w:tcPr>
            <w:tcW w:type="dxa" w:w="2160"/>
          </w:tcPr>
          <w:p>
            <w:r>
              <w:rPr>
                <w:sz w:val="18"/>
              </w:rPr>
              <w:t>Dupor &amp; Guerrero 2017 (Fed StL)</w:t>
            </w:r>
          </w:p>
        </w:tc>
      </w:tr>
      <w:tr>
        <w:tc>
          <w:tcPr>
            <w:tcW w:type="dxa" w:w="2160"/>
          </w:tcPr>
          <w:p>
            <w:r>
              <w:rPr>
                <w:sz w:val="18"/>
              </w:rPr>
              <w:t>OECD Average</w:t>
            </w:r>
          </w:p>
        </w:tc>
        <w:tc>
          <w:tcPr>
            <w:tcW w:type="dxa" w:w="2160"/>
          </w:tcPr>
          <w:p>
            <w:r>
              <w:rPr>
                <w:sz w:val="18"/>
              </w:rPr>
              <w:t>1.95</w:t>
            </w:r>
          </w:p>
        </w:tc>
        <w:tc>
          <w:tcPr>
            <w:tcW w:type="dxa" w:w="2160"/>
          </w:tcPr>
          <w:p>
            <w:r>
              <w:rPr>
                <w:sz w:val="18"/>
              </w:rPr>
              <w:t>2020</w:t>
            </w:r>
          </w:p>
        </w:tc>
        <w:tc>
          <w:tcPr>
            <w:tcW w:type="dxa" w:w="2160"/>
          </w:tcPr>
          <w:p>
            <w:r>
              <w:rPr>
                <w:sz w:val="18"/>
              </w:rPr>
              <w:t>Synthesis (this study)</w:t>
            </w:r>
          </w:p>
        </w:tc>
      </w:tr>
    </w:tbl>
    <w:p/>
    <w:p>
      <w:r>
        <w:t>日本の乗数2.78は比較対象国中最大であり、公共事業（2.1〜2.5）や電力・ガス（1.8〜2.0）と同等以上である</w:t>
      </w:r>
      <w:r>
        <w:rPr>
          <w:sz w:val="16"/>
          <w:vertAlign w:val="superscript"/>
        </w:rPr>
        <w:t>1,14</w:t>
      </w:r>
      <w:r>
        <w:t>。米国のMedicare乗数1.7</w:t>
      </w:r>
      <w:r>
        <w:rPr>
          <w:sz w:val="16"/>
          <w:vertAlign w:val="superscript"/>
        </w:rPr>
        <w:t>2</w:t>
      </w:r>
      <w:r>
        <w:t>が低いのは、高い薬価と管理コストが域外（海外製薬）に漏出するためと考えられる。</w:t>
      </w:r>
    </w:p>
    <w:p>
      <w:pPr>
        <w:pStyle w:val="Heading2"/>
      </w:pPr>
      <w:r>
        <w:t>2.2 供給側：健康資本と人的資本</w:t>
      </w:r>
    </w:p>
    <w:p>
      <w:r>
        <w:t>Mushkin（1962）以来、健康は人的資本の構成要素として認識されてきた</w:t>
      </w:r>
      <w:r>
        <w:rPr>
          <w:sz w:val="16"/>
          <w:vertAlign w:val="superscript"/>
        </w:rPr>
        <w:t>15</w:t>
      </w:r>
      <w:r>
        <w:t>。Grossman（1972）のヘルスキャピタルモデルでは、個人の健康ストックは投資（医療支出・予防行動）と減耗（加齢・疾病）の恒久棚卸法（PIM）で蓄積される</w:t>
      </w:r>
      <w:r>
        <w:rPr>
          <w:sz w:val="16"/>
          <w:vertAlign w:val="superscript"/>
        </w:rPr>
        <w:t>16</w:t>
      </w:r>
      <w:r>
        <w:t>。マクロレベルでは、Bloom, Canning &amp; Sevilla（2004）が 健康状態の改善がTFP（全要素生産性）を高めることを示し</w:t>
      </w:r>
      <w:r>
        <w:rPr>
          <w:sz w:val="16"/>
          <w:vertAlign w:val="superscript"/>
        </w:rPr>
        <w:t>17</w:t>
      </w:r>
      <w:r>
        <w:t>、Barro（2013）は平均寿命1年の延長がGDP成長率を約0.04 pp引き上げると推計した</w:t>
      </w:r>
      <w:r>
        <w:rPr>
          <w:sz w:val="16"/>
          <w:vertAlign w:val="superscript"/>
        </w:rPr>
        <w:t>18</w:t>
      </w:r>
      <w:r>
        <w:t>。</w:t>
      </w:r>
    </w:p>
    <w:p>
      <w:pPr>
        <w:pStyle w:val="Heading2"/>
      </w:pPr>
      <w:r>
        <w:t>2.3 テンポ効果の三層構造：人口→GDP→医療</w:t>
      </w:r>
    </w:p>
    <w:p>
      <w:r>
        <w:t>Bongaarts &amp; Feeney（1998）は人口学において、平均出産年齢（MAC）の上昇が期間合計出生率（TFR）を機械的に押し下げる「テンポ効果」を提唱した</w:t>
      </w:r>
      <w:r>
        <w:rPr>
          <w:sz w:val="16"/>
          <w:vertAlign w:val="superscript"/>
        </w:rPr>
        <w:t>9</w:t>
      </w:r>
      <w:r>
        <w:t>。Goldstein, Lutz &amp; Scherbov（2003）はパリティ別分散σ（「忘れられたパラメータ」）を導入し、テンポ補正済み出生率とコーホートデータの整合性を大幅に改善した</w:t>
      </w:r>
      <w:r>
        <w:rPr>
          <w:sz w:val="16"/>
          <w:vertAlign w:val="superscript"/>
        </w:rPr>
        <w:t>19</w:t>
      </w:r>
      <w:r>
        <w:t>。</w:t>
      </w:r>
    </w:p>
    <w:p>
      <w:r>
        <w:t>Onishi（2026b）はこの量子・テンポ分解を資本会計に移植し、投資→産出の time-to-build ラグμ(t) と無形資本比率β（忘れられたパラメータ）を導入することで、PWT（フロー）とCWON（ストック）の乖離を説明した</w:t>
      </w:r>
      <w:r>
        <w:rPr>
          <w:sz w:val="16"/>
          <w:vertAlign w:val="superscript"/>
        </w:rPr>
        <w:t>10</w:t>
      </w:r>
      <w:r>
        <w:t>。39か国のGDP分析では、テンポドリフトμ₁ = +0.04年/年が検出され、OOS MAPEが4.60%→3.99%へ13%改善した</w:t>
      </w:r>
      <w:r>
        <w:rPr>
          <w:sz w:val="16"/>
          <w:vertAlign w:val="superscript"/>
        </w:rPr>
        <w:t>10</w:t>
      </w:r>
      <w:r>
        <w:t>。</w:t>
      </w:r>
    </w:p>
    <w:p>
      <w:r>
        <w:t>本稿のhealthcare_tempo_pocでは、複数の候補モデル仕様（Candidate）を設定しており、Candidate A-Hは「医療支出→健康アウトカムの時間ラグ構造」をモデル化した候補仕様である</w:t>
      </w:r>
      <w:r>
        <w:rPr>
          <w:sz w:val="16"/>
          <w:vertAlign w:val="superscript"/>
        </w:rPr>
        <w:t>11</w:t>
      </w:r>
      <w:r>
        <w:t>。同じ枠組みを医療支出に適用し、支出→アウトカム（平均寿命）ラグμ_H(t)を定式化し、39か国で推定した結果を表2に示す。</w:t>
      </w:r>
    </w:p>
    <w:p>
      <w:pPr>
        <w:spacing w:after="80"/>
      </w:pPr>
      <w:r>
        <w:rPr>
          <w:i/>
          <w:sz w:val="18"/>
        </w:rPr>
        <w:t>表2. healthcare_tempo_poc Candidate A-H 結果（39か国、2000-2019年）</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モデル</w:t>
            </w:r>
          </w:p>
        </w:tc>
        <w:tc>
          <w:tcPr>
            <w:tcW w:type="dxa" w:w="2160"/>
          </w:tcPr>
          <w:p>
            <w:r>
              <w:rPr>
                <w:b/>
                <w:sz w:val="18"/>
              </w:rPr>
              <w:t>水準RMSE中央値（年）</w:t>
            </w:r>
          </w:p>
        </w:tc>
        <w:tc>
          <w:tcPr>
            <w:tcW w:type="dxa" w:w="2160"/>
          </w:tcPr>
          <w:p>
            <w:r>
              <w:rPr>
                <w:b/>
                <w:sz w:val="18"/>
              </w:rPr>
              <w:t>変化率RMSE中央値</w:t>
            </w:r>
          </w:p>
        </w:tc>
        <w:tc>
          <w:tcPr>
            <w:tcW w:type="dxa" w:w="2160"/>
          </w:tcPr>
          <w:p>
            <w:r>
              <w:rPr>
                <w:b/>
                <w:sz w:val="18"/>
              </w:rPr>
              <w:t>概要</w:t>
            </w:r>
          </w:p>
        </w:tc>
      </w:tr>
      <w:tr>
        <w:tc>
          <w:tcPr>
            <w:tcW w:type="dxa" w:w="2160"/>
          </w:tcPr>
          <w:p>
            <w:r>
              <w:rPr>
                <w:sz w:val="18"/>
              </w:rPr>
              <w:t>M0（フローのみ）</w:t>
            </w:r>
          </w:p>
        </w:tc>
        <w:tc>
          <w:tcPr>
            <w:tcW w:type="dxa" w:w="2160"/>
          </w:tcPr>
          <w:p>
            <w:r>
              <w:rPr>
                <w:sz w:val="18"/>
              </w:rPr>
              <w:t>0.510</w:t>
            </w:r>
          </w:p>
        </w:tc>
        <w:tc>
          <w:tcPr>
            <w:tcW w:type="dxa" w:w="2160"/>
          </w:tcPr>
          <w:p>
            <w:r>
              <w:rPr>
                <w:sz w:val="18"/>
              </w:rPr>
              <w:t>0.455</w:t>
            </w:r>
          </w:p>
        </w:tc>
        <w:tc>
          <w:tcPr>
            <w:tcW w:type="dxa" w:w="2160"/>
          </w:tcPr>
          <w:p>
            <w:r>
              <w:rPr>
                <w:sz w:val="18"/>
              </w:rPr>
              <w:t>支出→アウトカム即時</w:t>
            </w:r>
          </w:p>
        </w:tc>
      </w:tr>
      <w:tr>
        <w:tc>
          <w:tcPr>
            <w:tcW w:type="dxa" w:w="2160"/>
          </w:tcPr>
          <w:p>
            <w:r>
              <w:rPr>
                <w:sz w:val="18"/>
              </w:rPr>
              <w:t>M1（定数ラグ）</w:t>
            </w:r>
          </w:p>
        </w:tc>
        <w:tc>
          <w:tcPr>
            <w:tcW w:type="dxa" w:w="2160"/>
          </w:tcPr>
          <w:p>
            <w:r>
              <w:rPr>
                <w:sz w:val="18"/>
              </w:rPr>
              <w:t>0.441</w:t>
            </w:r>
          </w:p>
        </w:tc>
        <w:tc>
          <w:tcPr>
            <w:tcW w:type="dxa" w:w="2160"/>
          </w:tcPr>
          <w:p>
            <w:r>
              <w:rPr>
                <w:sz w:val="18"/>
              </w:rPr>
              <w:t>0.403</w:t>
            </w:r>
          </w:p>
        </w:tc>
        <w:tc>
          <w:tcPr>
            <w:tcW w:type="dxa" w:w="2160"/>
          </w:tcPr>
          <w:p>
            <w:r>
              <w:rPr>
                <w:sz w:val="18"/>
              </w:rPr>
              <w:t>μ*≈4年の固定ラグ</w:t>
            </w:r>
          </w:p>
        </w:tc>
      </w:tr>
      <w:tr>
        <w:tc>
          <w:tcPr>
            <w:tcW w:type="dxa" w:w="2160"/>
          </w:tcPr>
          <w:p>
            <w:r>
              <w:rPr>
                <w:sz w:val="18"/>
              </w:rPr>
              <w:t>M2（テンポラグ）</w:t>
            </w:r>
          </w:p>
        </w:tc>
        <w:tc>
          <w:tcPr>
            <w:tcW w:type="dxa" w:w="2160"/>
          </w:tcPr>
          <w:p>
            <w:r>
              <w:rPr>
                <w:sz w:val="18"/>
              </w:rPr>
              <w:t>0.434</w:t>
            </w:r>
          </w:p>
        </w:tc>
        <w:tc>
          <w:tcPr>
            <w:tcW w:type="dxa" w:w="2160"/>
          </w:tcPr>
          <w:p>
            <w:r>
              <w:rPr>
                <w:sz w:val="18"/>
              </w:rPr>
              <w:t>0.405</w:t>
            </w:r>
          </w:p>
        </w:tc>
        <w:tc>
          <w:tcPr>
            <w:tcW w:type="dxa" w:w="2160"/>
          </w:tcPr>
          <w:p>
            <w:r>
              <w:rPr>
                <w:sz w:val="18"/>
              </w:rPr>
              <w:t>μ_H1=+0.15年/年ドリフト</w:t>
            </w:r>
          </w:p>
        </w:tc>
      </w:tr>
    </w:tbl>
    <w:p/>
    <w:p>
      <w:r>
        <w:t>M2（テンポ）はM1（定数ラグ）を95%の国で上回り</w:t>
      </w:r>
      <w:r>
        <w:rPr>
          <w:sz w:val="16"/>
          <w:vertAlign w:val="superscript"/>
        </w:rPr>
        <w:t>11</w:t>
      </w:r>
      <w:r>
        <w:t>、「支出がアウトカムに反映されるまでのラグが一定ではなく時代とともに長くなっている」ことを裏付ける。μ_H1 = +0.15年/年は、10年で1.5年のラグ延長を意味し、GDPのμ₁ = +0.04年/年</w:t>
      </w:r>
      <w:r>
        <w:rPr>
          <w:sz w:val="16"/>
          <w:vertAlign w:val="superscript"/>
        </w:rPr>
        <w:t>10</w:t>
      </w:r>
      <w:r>
        <w:t>の約4倍である。この差は、医療が急性期から慢性疾患管理・予防・R&amp;Dへとシフトするにつれ、投資→成果のパイプラインが長期化していることと整合的である。</w:t>
      </w:r>
    </w:p>
    <w:p>
      <w:pPr>
        <w:jc w:val="center"/>
      </w:pPr>
      <w:r>
        <w:drawing>
          <wp:inline xmlns:a="http://schemas.openxmlformats.org/drawingml/2006/main" xmlns:pic="http://schemas.openxmlformats.org/drawingml/2006/picture">
            <wp:extent cx="5029200" cy="2236329"/>
            <wp:docPr id="2" name="Picture 2"/>
            <wp:cNvGraphicFramePr>
              <a:graphicFrameLocks noChangeAspect="1"/>
            </wp:cNvGraphicFramePr>
            <a:graphic>
              <a:graphicData uri="http://schemas.openxmlformats.org/drawingml/2006/picture">
                <pic:pic>
                  <pic:nvPicPr>
                    <pic:cNvPr id="0" name="fig5_three_layer_analogy_ja.png"/>
                    <pic:cNvPicPr/>
                  </pic:nvPicPr>
                  <pic:blipFill>
                    <a:blip r:embed="rId10"/>
                    <a:stretch>
                      <a:fillRect/>
                    </a:stretch>
                  </pic:blipFill>
                  <pic:spPr>
                    <a:xfrm>
                      <a:off x="0" y="0"/>
                      <a:ext cx="5029200" cy="2236329"/>
                    </a:xfrm>
                    <a:prstGeom prst="rect"/>
                  </pic:spPr>
                </pic:pic>
              </a:graphicData>
            </a:graphic>
          </wp:inline>
        </w:drawing>
      </w:r>
    </w:p>
    <w:p>
      <w:pPr>
        <w:spacing w:before="120" w:after="240"/>
        <w:jc w:val="center"/>
      </w:pPr>
      <w:r>
        <w:rPr>
          <w:i/>
          <w:sz w:val="18"/>
        </w:rPr>
        <w:t>図2. テンポ効果の三層構造 — 人口→GDP→医療への移植</w:t>
      </w:r>
    </w:p>
    <w:p>
      <w:pPr>
        <w:pStyle w:val="Heading2"/>
      </w:pPr>
      <w:r>
        <w:t>2.4 HLGHの実証的エビデンス</w:t>
      </w:r>
    </w:p>
    <w:p>
      <w:r>
        <w:t>Health-Led Growth Hypothesis (HLGH) は、医療支出が経済成長を促進するという仮説である。表3に、OECD諸国および途上国を対象とした主要なパネルデータ研究の結果を要約する。</w:t>
      </w:r>
    </w:p>
    <w:p>
      <w:pPr>
        <w:spacing w:after="80"/>
      </w:pPr>
      <w:r>
        <w:rPr>
          <w:i/>
          <w:sz w:val="18"/>
        </w:rPr>
        <w:t>表3. Health-Led Growth Hypothesisの実証研究要約</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研究</w:t>
            </w:r>
          </w:p>
        </w:tc>
        <w:tc>
          <w:tcPr>
            <w:tcW w:type="dxa" w:w="1728"/>
          </w:tcPr>
          <w:p>
            <w:r>
              <w:rPr>
                <w:b/>
                <w:sz w:val="18"/>
              </w:rPr>
              <w:t>対象国数</w:t>
            </w:r>
          </w:p>
        </w:tc>
        <w:tc>
          <w:tcPr>
            <w:tcW w:type="dxa" w:w="1728"/>
          </w:tcPr>
          <w:p>
            <w:r>
              <w:rPr>
                <w:b/>
                <w:sz w:val="18"/>
              </w:rPr>
              <w:t>期間</w:t>
            </w:r>
          </w:p>
        </w:tc>
        <w:tc>
          <w:tcPr>
            <w:tcW w:type="dxa" w:w="1728"/>
          </w:tcPr>
          <w:p>
            <w:r>
              <w:rPr>
                <w:b/>
                <w:sz w:val="18"/>
              </w:rPr>
              <w:t>手法</w:t>
            </w:r>
          </w:p>
        </w:tc>
        <w:tc>
          <w:tcPr>
            <w:tcW w:type="dxa" w:w="1728"/>
          </w:tcPr>
          <w:p>
            <w:r>
              <w:rPr>
                <w:b/>
                <w:sz w:val="18"/>
              </w:rPr>
              <w:t>因果の方向</w:t>
            </w:r>
          </w:p>
        </w:tc>
      </w:tr>
      <w:tr>
        <w:tc>
          <w:tcPr>
            <w:tcW w:type="dxa" w:w="1728"/>
          </w:tcPr>
          <w:p>
            <w:r>
              <w:rPr>
                <w:sz w:val="18"/>
              </w:rPr>
              <w:t>Ertugrul et al. 2024</w:t>
            </w:r>
          </w:p>
        </w:tc>
        <w:tc>
          <w:tcPr>
            <w:tcW w:type="dxa" w:w="1728"/>
          </w:tcPr>
          <w:p>
            <w:r>
              <w:rPr>
                <w:sz w:val="18"/>
              </w:rPr>
              <w:t>38</w:t>
            </w:r>
          </w:p>
        </w:tc>
        <w:tc>
          <w:tcPr>
            <w:tcW w:type="dxa" w:w="1728"/>
          </w:tcPr>
          <w:p>
            <w:r>
              <w:rPr>
                <w:sz w:val="18"/>
              </w:rPr>
              <w:t>2000-2019</w:t>
            </w:r>
          </w:p>
        </w:tc>
        <w:tc>
          <w:tcPr>
            <w:tcW w:type="dxa" w:w="1728"/>
          </w:tcPr>
          <w:p>
            <w:r>
              <w:rPr>
                <w:sz w:val="18"/>
              </w:rPr>
              <w:t>CS-ARDL / AMG</w:t>
            </w:r>
          </w:p>
        </w:tc>
        <w:tc>
          <w:tcPr>
            <w:tcW w:type="dxa" w:w="1728"/>
          </w:tcPr>
          <w:p>
            <w:r>
              <w:rPr>
                <w:sz w:val="18"/>
              </w:rPr>
              <w:t>Bidirectional</w:t>
            </w:r>
          </w:p>
        </w:tc>
      </w:tr>
      <w:tr>
        <w:tc>
          <w:tcPr>
            <w:tcW w:type="dxa" w:w="1728"/>
          </w:tcPr>
          <w:p>
            <w:r>
              <w:rPr>
                <w:sz w:val="18"/>
              </w:rPr>
              <w:t>Beylik et al. 2022</w:t>
            </w:r>
          </w:p>
        </w:tc>
        <w:tc>
          <w:tcPr>
            <w:tcW w:type="dxa" w:w="1728"/>
          </w:tcPr>
          <w:p>
            <w:r>
              <w:rPr>
                <w:sz w:val="18"/>
              </w:rPr>
              <w:t>21</w:t>
            </w:r>
          </w:p>
        </w:tc>
        <w:tc>
          <w:tcPr>
            <w:tcW w:type="dxa" w:w="1728"/>
          </w:tcPr>
          <w:p>
            <w:r>
              <w:rPr>
                <w:sz w:val="18"/>
              </w:rPr>
              <w:t>2000-2018</w:t>
            </w:r>
          </w:p>
        </w:tc>
        <w:tc>
          <w:tcPr>
            <w:tcW w:type="dxa" w:w="1728"/>
          </w:tcPr>
          <w:p>
            <w:r>
              <w:rPr>
                <w:sz w:val="18"/>
              </w:rPr>
              <w:t>Driscoll-Kraay</w:t>
            </w:r>
          </w:p>
        </w:tc>
        <w:tc>
          <w:tcPr>
            <w:tcW w:type="dxa" w:w="1728"/>
          </w:tcPr>
          <w:p>
            <w:r>
              <w:rPr>
                <w:sz w:val="18"/>
              </w:rPr>
              <w:t>Bidirectional</w:t>
            </w:r>
          </w:p>
        </w:tc>
      </w:tr>
      <w:tr>
        <w:tc>
          <w:tcPr>
            <w:tcW w:type="dxa" w:w="1728"/>
          </w:tcPr>
          <w:p>
            <w:r>
              <w:rPr>
                <w:sz w:val="18"/>
              </w:rPr>
              <w:t>Amiri &amp; Ventelou 2012</w:t>
            </w:r>
          </w:p>
        </w:tc>
        <w:tc>
          <w:tcPr>
            <w:tcW w:type="dxa" w:w="1728"/>
          </w:tcPr>
          <w:p>
            <w:r>
              <w:rPr>
                <w:sz w:val="18"/>
              </w:rPr>
              <w:t>20</w:t>
            </w:r>
          </w:p>
        </w:tc>
        <w:tc>
          <w:tcPr>
            <w:tcW w:type="dxa" w:w="1728"/>
          </w:tcPr>
          <w:p>
            <w:r>
              <w:rPr>
                <w:sz w:val="18"/>
              </w:rPr>
              <w:t>1995-2008</w:t>
            </w:r>
          </w:p>
        </w:tc>
        <w:tc>
          <w:tcPr>
            <w:tcW w:type="dxa" w:w="1728"/>
          </w:tcPr>
          <w:p>
            <w:r>
              <w:rPr>
                <w:sz w:val="18"/>
              </w:rPr>
              <w:t>Toda-Yamamoto</w:t>
            </w:r>
          </w:p>
        </w:tc>
        <w:tc>
          <w:tcPr>
            <w:tcW w:type="dxa" w:w="1728"/>
          </w:tcPr>
          <w:p>
            <w:r>
              <w:rPr>
                <w:sz w:val="18"/>
              </w:rPr>
              <w:t>Bidirectional (Granger)</w:t>
            </w:r>
          </w:p>
        </w:tc>
      </w:tr>
      <w:tr>
        <w:tc>
          <w:tcPr>
            <w:tcW w:type="dxa" w:w="1728"/>
          </w:tcPr>
          <w:p>
            <w:r>
              <w:rPr>
                <w:sz w:val="18"/>
              </w:rPr>
              <w:t>Wang 2011</w:t>
            </w:r>
          </w:p>
        </w:tc>
        <w:tc>
          <w:tcPr>
            <w:tcW w:type="dxa" w:w="1728"/>
          </w:tcPr>
          <w:p>
            <w:r>
              <w:rPr>
                <w:sz w:val="18"/>
              </w:rPr>
              <w:t>31</w:t>
            </w:r>
          </w:p>
        </w:tc>
        <w:tc>
          <w:tcPr>
            <w:tcW w:type="dxa" w:w="1728"/>
          </w:tcPr>
          <w:p>
            <w:r>
              <w:rPr>
                <w:sz w:val="18"/>
              </w:rPr>
              <w:t>1986-2007</w:t>
            </w:r>
          </w:p>
        </w:tc>
        <w:tc>
          <w:tcPr>
            <w:tcW w:type="dxa" w:w="1728"/>
          </w:tcPr>
          <w:p>
            <w:r>
              <w:rPr>
                <w:sz w:val="18"/>
              </w:rPr>
              <w:t>Panel VECM</w:t>
            </w:r>
          </w:p>
        </w:tc>
        <w:tc>
          <w:tcPr>
            <w:tcW w:type="dxa" w:w="1728"/>
          </w:tcPr>
          <w:p>
            <w:r>
              <w:rPr>
                <w:sz w:val="18"/>
              </w:rPr>
              <w:t>Bidirectional</w:t>
            </w:r>
          </w:p>
        </w:tc>
      </w:tr>
      <w:tr>
        <w:tc>
          <w:tcPr>
            <w:tcW w:type="dxa" w:w="1728"/>
          </w:tcPr>
          <w:p>
            <w:r>
              <w:rPr>
                <w:sz w:val="18"/>
              </w:rPr>
              <w:t>Piabuo &amp; Tieguhong 2017</w:t>
            </w:r>
          </w:p>
        </w:tc>
        <w:tc>
          <w:tcPr>
            <w:tcW w:type="dxa" w:w="1728"/>
          </w:tcPr>
          <w:p>
            <w:r>
              <w:rPr>
                <w:sz w:val="18"/>
              </w:rPr>
              <w:t>45</w:t>
            </w:r>
          </w:p>
        </w:tc>
        <w:tc>
          <w:tcPr>
            <w:tcW w:type="dxa" w:w="1728"/>
          </w:tcPr>
          <w:p>
            <w:r>
              <w:rPr>
                <w:sz w:val="18"/>
              </w:rPr>
              <w:t>1995-2015</w:t>
            </w:r>
          </w:p>
        </w:tc>
        <w:tc>
          <w:tcPr>
            <w:tcW w:type="dxa" w:w="1728"/>
          </w:tcPr>
          <w:p>
            <w:r>
              <w:rPr>
                <w:sz w:val="18"/>
              </w:rPr>
              <w:t>GMM</w:t>
            </w:r>
          </w:p>
        </w:tc>
        <w:tc>
          <w:tcPr>
            <w:tcW w:type="dxa" w:w="1728"/>
          </w:tcPr>
          <w:p>
            <w:r>
              <w:rPr>
                <w:sz w:val="18"/>
              </w:rPr>
              <w:t>H-&gt;G (developing)</w:t>
            </w:r>
          </w:p>
        </w:tc>
      </w:tr>
    </w:tbl>
    <w:p/>
    <w:p>
      <w:r>
        <w:t>全ての研究が医療支出→GDP成長の正の効果を確認しており、多くで双方向因果（bidirectional causality）が検出されている</w:t>
      </w:r>
      <w:r>
        <w:rPr>
          <w:sz w:val="16"/>
          <w:vertAlign w:val="superscript"/>
        </w:rPr>
        <w:t>5-8,20</w:t>
      </w:r>
      <w:r>
        <w:t>。これは医療費が単なるコストではなく、経済成長のエンジンの一つであることを示唆する。</w:t>
      </w:r>
    </w:p>
    <w:p>
      <w:pPr>
        <w:pStyle w:val="Heading1"/>
      </w:pPr>
      <w:r>
        <w:t>3. ニュートラルな持続可能性フレームワーク</w:t>
      </w:r>
    </w:p>
    <w:p>
      <w:r>
        <w:t>本稿では、医療費の持続可能性を「需要側リターン」と「供給側リターン」の二重構造で評価する枠組みを提案する（図3）。</w:t>
      </w:r>
    </w:p>
    <w:p>
      <w:pPr>
        <w:jc w:val="center"/>
      </w:pPr>
      <w:r>
        <w:drawing>
          <wp:inline xmlns:a="http://schemas.openxmlformats.org/drawingml/2006/main" xmlns:pic="http://schemas.openxmlformats.org/drawingml/2006/picture">
            <wp:extent cx="5029200" cy="2998715"/>
            <wp:docPr id="3" name="Picture 3"/>
            <wp:cNvGraphicFramePr>
              <a:graphicFrameLocks noChangeAspect="1"/>
            </wp:cNvGraphicFramePr>
            <a:graphic>
              <a:graphicData uri="http://schemas.openxmlformats.org/drawingml/2006/picture">
                <pic:pic>
                  <pic:nvPicPr>
                    <pic:cNvPr id="0" name="fig4_dual_return_schematic.png"/>
                    <pic:cNvPicPr/>
                  </pic:nvPicPr>
                  <pic:blipFill>
                    <a:blip r:embed="rId11"/>
                    <a:stretch>
                      <a:fillRect/>
                    </a:stretch>
                  </pic:blipFill>
                  <pic:spPr>
                    <a:xfrm>
                      <a:off x="0" y="0"/>
                      <a:ext cx="5029200" cy="2998715"/>
                    </a:xfrm>
                    <a:prstGeom prst="rect"/>
                  </pic:spPr>
                </pic:pic>
              </a:graphicData>
            </a:graphic>
          </wp:inline>
        </w:drawing>
      </w:r>
    </w:p>
    <w:p>
      <w:pPr>
        <w:spacing w:before="120" w:after="240"/>
        <w:jc w:val="center"/>
      </w:pPr>
      <w:r>
        <w:rPr>
          <w:i/>
          <w:sz w:val="18"/>
        </w:rPr>
        <w:t>図3. 医療支出の二重リターン・フレームワーク概念図</w:t>
      </w:r>
    </w:p>
    <w:p>
      <w:pPr>
        <w:pStyle w:val="Heading2"/>
      </w:pPr>
      <w:r>
        <w:t>3.1 需要側：財政回収率</w:t>
      </w:r>
    </w:p>
    <w:p>
      <w:r>
        <w:t>医療支出E(t)がI-O乗数mを通じて経済全体にm·E(t)の産出を誘発し、その産出に対して実効税率τで税収・社会保険料が還流する。公的医療費の割合をpfとすると、ニュートラルな財政持続可能性基準は次式で定義される：</w:t>
      </w:r>
    </w:p>
    <w:p>
      <w:pPr>
        <w:jc w:val="center"/>
      </w:pPr>
      <w:r>
        <w:rPr>
          <w:b/>
          <w:sz w:val="22"/>
        </w:rPr>
        <w:t>Fiscal Return Ratio = (τ · m) / pf ≥ 1.0</w:t>
      </w:r>
    </w:p>
    <w:p>
      <w:r>
        <w:t>この比率が1.0以上であれば、医療支出が誘発する経済活動からの税・保険料収入が、公的医療費の支出額を上回ることを意味する。表4に13か国の推計結果を、図4にその可視化を示す。</w:t>
      </w:r>
    </w:p>
    <w:p>
      <w:pPr>
        <w:spacing w:after="80"/>
      </w:pPr>
      <w:r>
        <w:rPr>
          <w:i/>
          <w:sz w:val="18"/>
        </w:rPr>
        <w:t>表4. ニュートラル財政持続可能性指標（13か国）</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国</w:t>
            </w:r>
          </w:p>
        </w:tc>
        <w:tc>
          <w:tcPr>
            <w:tcW w:type="dxa" w:w="1440"/>
          </w:tcPr>
          <w:p>
            <w:r>
              <w:rPr>
                <w:b/>
                <w:sz w:val="18"/>
              </w:rPr>
              <w:t>I-O乗数</w:t>
            </w:r>
          </w:p>
        </w:tc>
        <w:tc>
          <w:tcPr>
            <w:tcW w:type="dxa" w:w="1440"/>
          </w:tcPr>
          <w:p>
            <w:r>
              <w:rPr>
                <w:b/>
                <w:sz w:val="18"/>
              </w:rPr>
              <w:t>実効税率</w:t>
            </w:r>
          </w:p>
        </w:tc>
        <w:tc>
          <w:tcPr>
            <w:tcW w:type="dxa" w:w="1440"/>
          </w:tcPr>
          <w:p>
            <w:r>
              <w:rPr>
                <w:b/>
                <w:sz w:val="18"/>
              </w:rPr>
              <w:t>公的負担割合</w:t>
            </w:r>
          </w:p>
        </w:tc>
        <w:tc>
          <w:tcPr>
            <w:tcW w:type="dxa" w:w="1440"/>
          </w:tcPr>
          <w:p>
            <w:r>
              <w:rPr>
                <w:b/>
                <w:sz w:val="18"/>
              </w:rPr>
              <w:t>財政回収率</w:t>
            </w:r>
          </w:p>
        </w:tc>
        <w:tc>
          <w:tcPr>
            <w:tcW w:type="dxa" w:w="1440"/>
          </w:tcPr>
          <w:p>
            <w:r>
              <w:rPr>
                <w:b/>
                <w:sz w:val="18"/>
              </w:rPr>
              <w:t>持続的</w:t>
            </w:r>
          </w:p>
        </w:tc>
      </w:tr>
      <w:tr>
        <w:tc>
          <w:tcPr>
            <w:tcW w:type="dxa" w:w="1440"/>
          </w:tcPr>
          <w:p>
            <w:r>
              <w:rPr>
                <w:sz w:val="18"/>
              </w:rPr>
              <w:t>Japan</w:t>
            </w:r>
          </w:p>
        </w:tc>
        <w:tc>
          <w:tcPr>
            <w:tcW w:type="dxa" w:w="1440"/>
          </w:tcPr>
          <w:p>
            <w:r>
              <w:rPr>
                <w:sz w:val="18"/>
              </w:rPr>
              <w:t>2.78</w:t>
            </w:r>
          </w:p>
        </w:tc>
        <w:tc>
          <w:tcPr>
            <w:tcW w:type="dxa" w:w="1440"/>
          </w:tcPr>
          <w:p>
            <w:r>
              <w:rPr>
                <w:sz w:val="18"/>
              </w:rPr>
              <w:t>0.33</w:t>
            </w:r>
          </w:p>
        </w:tc>
        <w:tc>
          <w:tcPr>
            <w:tcW w:type="dxa" w:w="1440"/>
          </w:tcPr>
          <w:p>
            <w:r>
              <w:rPr>
                <w:sz w:val="18"/>
              </w:rPr>
              <w:t>0.84</w:t>
            </w:r>
          </w:p>
        </w:tc>
        <w:tc>
          <w:tcPr>
            <w:tcW w:type="dxa" w:w="1440"/>
          </w:tcPr>
          <w:p>
            <w:r>
              <w:rPr>
                <w:sz w:val="18"/>
              </w:rPr>
              <w:t>1.09</w:t>
            </w:r>
          </w:p>
        </w:tc>
        <w:tc>
          <w:tcPr>
            <w:tcW w:type="dxa" w:w="1440"/>
          </w:tcPr>
          <w:p>
            <w:r>
              <w:rPr>
                <w:sz w:val="18"/>
              </w:rPr>
              <w:t>Yes</w:t>
            </w:r>
          </w:p>
        </w:tc>
      </w:tr>
      <w:tr>
        <w:tc>
          <w:tcPr>
            <w:tcW w:type="dxa" w:w="1440"/>
          </w:tcPr>
          <w:p>
            <w:r>
              <w:rPr>
                <w:sz w:val="18"/>
              </w:rPr>
              <w:t>USA</w:t>
            </w:r>
          </w:p>
        </w:tc>
        <w:tc>
          <w:tcPr>
            <w:tcW w:type="dxa" w:w="1440"/>
          </w:tcPr>
          <w:p>
            <w:r>
              <w:rPr>
                <w:sz w:val="18"/>
              </w:rPr>
              <w:t>1.7</w:t>
            </w:r>
          </w:p>
        </w:tc>
        <w:tc>
          <w:tcPr>
            <w:tcW w:type="dxa" w:w="1440"/>
          </w:tcPr>
          <w:p>
            <w:r>
              <w:rPr>
                <w:sz w:val="18"/>
              </w:rPr>
              <w:t>0.27</w:t>
            </w:r>
          </w:p>
        </w:tc>
        <w:tc>
          <w:tcPr>
            <w:tcW w:type="dxa" w:w="1440"/>
          </w:tcPr>
          <w:p>
            <w:r>
              <w:rPr>
                <w:sz w:val="18"/>
              </w:rPr>
              <w:t>0.5</w:t>
            </w:r>
          </w:p>
        </w:tc>
        <w:tc>
          <w:tcPr>
            <w:tcW w:type="dxa" w:w="1440"/>
          </w:tcPr>
          <w:p>
            <w:r>
              <w:rPr>
                <w:sz w:val="18"/>
              </w:rPr>
              <w:t>0.92</w:t>
            </w:r>
          </w:p>
        </w:tc>
        <w:tc>
          <w:tcPr>
            <w:tcW w:type="dxa" w:w="1440"/>
          </w:tcPr>
          <w:p>
            <w:r>
              <w:rPr>
                <w:sz w:val="18"/>
              </w:rPr>
              <w:t>No</w:t>
            </w:r>
          </w:p>
        </w:tc>
      </w:tr>
      <w:tr>
        <w:tc>
          <w:tcPr>
            <w:tcW w:type="dxa" w:w="1440"/>
          </w:tcPr>
          <w:p>
            <w:r>
              <w:rPr>
                <w:sz w:val="18"/>
              </w:rPr>
              <w:t>Germany</w:t>
            </w:r>
          </w:p>
        </w:tc>
        <w:tc>
          <w:tcPr>
            <w:tcW w:type="dxa" w:w="1440"/>
          </w:tcPr>
          <w:p>
            <w:r>
              <w:rPr>
                <w:sz w:val="18"/>
              </w:rPr>
              <w:t>2.1</w:t>
            </w:r>
          </w:p>
        </w:tc>
        <w:tc>
          <w:tcPr>
            <w:tcW w:type="dxa" w:w="1440"/>
          </w:tcPr>
          <w:p>
            <w:r>
              <w:rPr>
                <w:sz w:val="18"/>
              </w:rPr>
              <w:t>0.39</w:t>
            </w:r>
          </w:p>
        </w:tc>
        <w:tc>
          <w:tcPr>
            <w:tcW w:type="dxa" w:w="1440"/>
          </w:tcPr>
          <w:p>
            <w:r>
              <w:rPr>
                <w:sz w:val="18"/>
              </w:rPr>
              <w:t>0.85</w:t>
            </w:r>
          </w:p>
        </w:tc>
        <w:tc>
          <w:tcPr>
            <w:tcW w:type="dxa" w:w="1440"/>
          </w:tcPr>
          <w:p>
            <w:r>
              <w:rPr>
                <w:sz w:val="18"/>
              </w:rPr>
              <w:t>0.96</w:t>
            </w:r>
          </w:p>
        </w:tc>
        <w:tc>
          <w:tcPr>
            <w:tcW w:type="dxa" w:w="1440"/>
          </w:tcPr>
          <w:p>
            <w:r>
              <w:rPr>
                <w:sz w:val="18"/>
              </w:rPr>
              <w:t>No</w:t>
            </w:r>
          </w:p>
        </w:tc>
      </w:tr>
      <w:tr>
        <w:tc>
          <w:tcPr>
            <w:tcW w:type="dxa" w:w="1440"/>
          </w:tcPr>
          <w:p>
            <w:r>
              <w:rPr>
                <w:sz w:val="18"/>
              </w:rPr>
              <w:t>UK</w:t>
            </w:r>
          </w:p>
        </w:tc>
        <w:tc>
          <w:tcPr>
            <w:tcW w:type="dxa" w:w="1440"/>
          </w:tcPr>
          <w:p>
            <w:r>
              <w:rPr>
                <w:sz w:val="18"/>
              </w:rPr>
              <w:t>1.9</w:t>
            </w:r>
          </w:p>
        </w:tc>
        <w:tc>
          <w:tcPr>
            <w:tcW w:type="dxa" w:w="1440"/>
          </w:tcPr>
          <w:p>
            <w:r>
              <w:rPr>
                <w:sz w:val="18"/>
              </w:rPr>
              <w:t>0.33</w:t>
            </w:r>
          </w:p>
        </w:tc>
        <w:tc>
          <w:tcPr>
            <w:tcW w:type="dxa" w:w="1440"/>
          </w:tcPr>
          <w:p>
            <w:r>
              <w:rPr>
                <w:sz w:val="18"/>
              </w:rPr>
              <w:t>0.8</w:t>
            </w:r>
          </w:p>
        </w:tc>
        <w:tc>
          <w:tcPr>
            <w:tcW w:type="dxa" w:w="1440"/>
          </w:tcPr>
          <w:p>
            <w:r>
              <w:rPr>
                <w:sz w:val="18"/>
              </w:rPr>
              <w:t>0.78</w:t>
            </w:r>
          </w:p>
        </w:tc>
        <w:tc>
          <w:tcPr>
            <w:tcW w:type="dxa" w:w="1440"/>
          </w:tcPr>
          <w:p>
            <w:r>
              <w:rPr>
                <w:sz w:val="18"/>
              </w:rPr>
              <w:t>No</w:t>
            </w:r>
          </w:p>
        </w:tc>
      </w:tr>
      <w:tr>
        <w:tc>
          <w:tcPr>
            <w:tcW w:type="dxa" w:w="1440"/>
          </w:tcPr>
          <w:p>
            <w:r>
              <w:rPr>
                <w:sz w:val="18"/>
              </w:rPr>
              <w:t>France</w:t>
            </w:r>
          </w:p>
        </w:tc>
        <w:tc>
          <w:tcPr>
            <w:tcW w:type="dxa" w:w="1440"/>
          </w:tcPr>
          <w:p>
            <w:r>
              <w:rPr>
                <w:sz w:val="18"/>
              </w:rPr>
              <w:t>2.2</w:t>
            </w:r>
          </w:p>
        </w:tc>
        <w:tc>
          <w:tcPr>
            <w:tcW w:type="dxa" w:w="1440"/>
          </w:tcPr>
          <w:p>
            <w:r>
              <w:rPr>
                <w:sz w:val="18"/>
              </w:rPr>
              <w:t>0.45</w:t>
            </w:r>
          </w:p>
        </w:tc>
        <w:tc>
          <w:tcPr>
            <w:tcW w:type="dxa" w:w="1440"/>
          </w:tcPr>
          <w:p>
            <w:r>
              <w:rPr>
                <w:sz w:val="18"/>
              </w:rPr>
              <w:t>0.84</w:t>
            </w:r>
          </w:p>
        </w:tc>
        <w:tc>
          <w:tcPr>
            <w:tcW w:type="dxa" w:w="1440"/>
          </w:tcPr>
          <w:p>
            <w:r>
              <w:rPr>
                <w:sz w:val="18"/>
              </w:rPr>
              <w:t>1.18</w:t>
            </w:r>
          </w:p>
        </w:tc>
        <w:tc>
          <w:tcPr>
            <w:tcW w:type="dxa" w:w="1440"/>
          </w:tcPr>
          <w:p>
            <w:r>
              <w:rPr>
                <w:sz w:val="18"/>
              </w:rPr>
              <w:t>Yes</w:t>
            </w:r>
          </w:p>
        </w:tc>
      </w:tr>
      <w:tr>
        <w:tc>
          <w:tcPr>
            <w:tcW w:type="dxa" w:w="1440"/>
          </w:tcPr>
          <w:p>
            <w:r>
              <w:rPr>
                <w:sz w:val="18"/>
              </w:rPr>
              <w:t>Sweden</w:t>
            </w:r>
          </w:p>
        </w:tc>
        <w:tc>
          <w:tcPr>
            <w:tcW w:type="dxa" w:w="1440"/>
          </w:tcPr>
          <w:p>
            <w:r>
              <w:rPr>
                <w:sz w:val="18"/>
              </w:rPr>
              <w:t>2.05</w:t>
            </w:r>
          </w:p>
        </w:tc>
        <w:tc>
          <w:tcPr>
            <w:tcW w:type="dxa" w:w="1440"/>
          </w:tcPr>
          <w:p>
            <w:r>
              <w:rPr>
                <w:sz w:val="18"/>
              </w:rPr>
              <w:t>0.43</w:t>
            </w:r>
          </w:p>
        </w:tc>
        <w:tc>
          <w:tcPr>
            <w:tcW w:type="dxa" w:w="1440"/>
          </w:tcPr>
          <w:p>
            <w:r>
              <w:rPr>
                <w:sz w:val="18"/>
              </w:rPr>
              <w:t>0.85</w:t>
            </w:r>
          </w:p>
        </w:tc>
        <w:tc>
          <w:tcPr>
            <w:tcW w:type="dxa" w:w="1440"/>
          </w:tcPr>
          <w:p>
            <w:r>
              <w:rPr>
                <w:sz w:val="18"/>
              </w:rPr>
              <w:t>1.04</w:t>
            </w:r>
          </w:p>
        </w:tc>
        <w:tc>
          <w:tcPr>
            <w:tcW w:type="dxa" w:w="1440"/>
          </w:tcPr>
          <w:p>
            <w:r>
              <w:rPr>
                <w:sz w:val="18"/>
              </w:rPr>
              <w:t>Yes</w:t>
            </w:r>
          </w:p>
        </w:tc>
      </w:tr>
      <w:tr>
        <w:tc>
          <w:tcPr>
            <w:tcW w:type="dxa" w:w="1440"/>
          </w:tcPr>
          <w:p>
            <w:r>
              <w:rPr>
                <w:sz w:val="18"/>
              </w:rPr>
              <w:t>Canada</w:t>
            </w:r>
          </w:p>
        </w:tc>
        <w:tc>
          <w:tcPr>
            <w:tcW w:type="dxa" w:w="1440"/>
          </w:tcPr>
          <w:p>
            <w:r>
              <w:rPr>
                <w:sz w:val="18"/>
              </w:rPr>
              <w:t>1.82</w:t>
            </w:r>
          </w:p>
        </w:tc>
        <w:tc>
          <w:tcPr>
            <w:tcW w:type="dxa" w:w="1440"/>
          </w:tcPr>
          <w:p>
            <w:r>
              <w:rPr>
                <w:sz w:val="18"/>
              </w:rPr>
              <w:t>0.33</w:t>
            </w:r>
          </w:p>
        </w:tc>
        <w:tc>
          <w:tcPr>
            <w:tcW w:type="dxa" w:w="1440"/>
          </w:tcPr>
          <w:p>
            <w:r>
              <w:rPr>
                <w:sz w:val="18"/>
              </w:rPr>
              <w:t>0.73</w:t>
            </w:r>
          </w:p>
        </w:tc>
        <w:tc>
          <w:tcPr>
            <w:tcW w:type="dxa" w:w="1440"/>
          </w:tcPr>
          <w:p>
            <w:r>
              <w:rPr>
                <w:sz w:val="18"/>
              </w:rPr>
              <w:t>0.82</w:t>
            </w:r>
          </w:p>
        </w:tc>
        <w:tc>
          <w:tcPr>
            <w:tcW w:type="dxa" w:w="1440"/>
          </w:tcPr>
          <w:p>
            <w:r>
              <w:rPr>
                <w:sz w:val="18"/>
              </w:rPr>
              <w:t>No</w:t>
            </w:r>
          </w:p>
        </w:tc>
      </w:tr>
      <w:tr>
        <w:tc>
          <w:tcPr>
            <w:tcW w:type="dxa" w:w="1440"/>
          </w:tcPr>
          <w:p>
            <w:r>
              <w:rPr>
                <w:sz w:val="18"/>
              </w:rPr>
              <w:t>Australia</w:t>
            </w:r>
          </w:p>
        </w:tc>
        <w:tc>
          <w:tcPr>
            <w:tcW w:type="dxa" w:w="1440"/>
          </w:tcPr>
          <w:p>
            <w:r>
              <w:rPr>
                <w:sz w:val="18"/>
              </w:rPr>
              <w:t>1.85</w:t>
            </w:r>
          </w:p>
        </w:tc>
        <w:tc>
          <w:tcPr>
            <w:tcW w:type="dxa" w:w="1440"/>
          </w:tcPr>
          <w:p>
            <w:r>
              <w:rPr>
                <w:sz w:val="18"/>
              </w:rPr>
              <w:t>0.28</w:t>
            </w:r>
          </w:p>
        </w:tc>
        <w:tc>
          <w:tcPr>
            <w:tcW w:type="dxa" w:w="1440"/>
          </w:tcPr>
          <w:p>
            <w:r>
              <w:rPr>
                <w:sz w:val="18"/>
              </w:rPr>
              <w:t>0.68</w:t>
            </w:r>
          </w:p>
        </w:tc>
        <w:tc>
          <w:tcPr>
            <w:tcW w:type="dxa" w:w="1440"/>
          </w:tcPr>
          <w:p>
            <w:r>
              <w:rPr>
                <w:sz w:val="18"/>
              </w:rPr>
              <w:t>0.76</w:t>
            </w:r>
          </w:p>
        </w:tc>
        <w:tc>
          <w:tcPr>
            <w:tcW w:type="dxa" w:w="1440"/>
          </w:tcPr>
          <w:p>
            <w:r>
              <w:rPr>
                <w:sz w:val="18"/>
              </w:rPr>
              <w:t>No</w:t>
            </w:r>
          </w:p>
        </w:tc>
      </w:tr>
      <w:tr>
        <w:tc>
          <w:tcPr>
            <w:tcW w:type="dxa" w:w="1440"/>
          </w:tcPr>
          <w:p>
            <w:r>
              <w:rPr>
                <w:sz w:val="18"/>
              </w:rPr>
              <w:t>Korea</w:t>
            </w:r>
          </w:p>
        </w:tc>
        <w:tc>
          <w:tcPr>
            <w:tcW w:type="dxa" w:w="1440"/>
          </w:tcPr>
          <w:p>
            <w:r>
              <w:rPr>
                <w:sz w:val="18"/>
              </w:rPr>
              <w:t>1.95</w:t>
            </w:r>
          </w:p>
        </w:tc>
        <w:tc>
          <w:tcPr>
            <w:tcW w:type="dxa" w:w="1440"/>
          </w:tcPr>
          <w:p>
            <w:r>
              <w:rPr>
                <w:sz w:val="18"/>
              </w:rPr>
              <w:t>0.27</w:t>
            </w:r>
          </w:p>
        </w:tc>
        <w:tc>
          <w:tcPr>
            <w:tcW w:type="dxa" w:w="1440"/>
          </w:tcPr>
          <w:p>
            <w:r>
              <w:rPr>
                <w:sz w:val="18"/>
              </w:rPr>
              <w:t>0.61</w:t>
            </w:r>
          </w:p>
        </w:tc>
        <w:tc>
          <w:tcPr>
            <w:tcW w:type="dxa" w:w="1440"/>
          </w:tcPr>
          <w:p>
            <w:r>
              <w:rPr>
                <w:sz w:val="18"/>
              </w:rPr>
              <w:t>0.86</w:t>
            </w:r>
          </w:p>
        </w:tc>
        <w:tc>
          <w:tcPr>
            <w:tcW w:type="dxa" w:w="1440"/>
          </w:tcPr>
          <w:p>
            <w:r>
              <w:rPr>
                <w:sz w:val="18"/>
              </w:rPr>
              <w:t>No</w:t>
            </w:r>
          </w:p>
        </w:tc>
      </w:tr>
      <w:tr>
        <w:tc>
          <w:tcPr>
            <w:tcW w:type="dxa" w:w="1440"/>
          </w:tcPr>
          <w:p>
            <w:r>
              <w:rPr>
                <w:sz w:val="18"/>
              </w:rPr>
              <w:t>Italy</w:t>
            </w:r>
          </w:p>
        </w:tc>
        <w:tc>
          <w:tcPr>
            <w:tcW w:type="dxa" w:w="1440"/>
          </w:tcPr>
          <w:p>
            <w:r>
              <w:rPr>
                <w:sz w:val="18"/>
              </w:rPr>
              <w:t>1.95</w:t>
            </w:r>
          </w:p>
        </w:tc>
        <w:tc>
          <w:tcPr>
            <w:tcW w:type="dxa" w:w="1440"/>
          </w:tcPr>
          <w:p>
            <w:r>
              <w:rPr>
                <w:sz w:val="18"/>
              </w:rPr>
              <w:t>0.43</w:t>
            </w:r>
          </w:p>
        </w:tc>
        <w:tc>
          <w:tcPr>
            <w:tcW w:type="dxa" w:w="1440"/>
          </w:tcPr>
          <w:p>
            <w:r>
              <w:rPr>
                <w:sz w:val="18"/>
              </w:rPr>
              <w:t>0.74</w:t>
            </w:r>
          </w:p>
        </w:tc>
        <w:tc>
          <w:tcPr>
            <w:tcW w:type="dxa" w:w="1440"/>
          </w:tcPr>
          <w:p>
            <w:r>
              <w:rPr>
                <w:sz w:val="18"/>
              </w:rPr>
              <w:t>1.13</w:t>
            </w:r>
          </w:p>
        </w:tc>
        <w:tc>
          <w:tcPr>
            <w:tcW w:type="dxa" w:w="1440"/>
          </w:tcPr>
          <w:p>
            <w:r>
              <w:rPr>
                <w:sz w:val="18"/>
              </w:rPr>
              <w:t>Yes</w:t>
            </w:r>
          </w:p>
        </w:tc>
      </w:tr>
      <w:tr>
        <w:tc>
          <w:tcPr>
            <w:tcW w:type="dxa" w:w="1440"/>
          </w:tcPr>
          <w:p>
            <w:r>
              <w:rPr>
                <w:sz w:val="18"/>
              </w:rPr>
              <w:t>Spain</w:t>
            </w:r>
          </w:p>
        </w:tc>
        <w:tc>
          <w:tcPr>
            <w:tcW w:type="dxa" w:w="1440"/>
          </w:tcPr>
          <w:p>
            <w:r>
              <w:rPr>
                <w:sz w:val="18"/>
              </w:rPr>
              <w:t>1.85</w:t>
            </w:r>
          </w:p>
        </w:tc>
        <w:tc>
          <w:tcPr>
            <w:tcW w:type="dxa" w:w="1440"/>
          </w:tcPr>
          <w:p>
            <w:r>
              <w:rPr>
                <w:sz w:val="18"/>
              </w:rPr>
              <w:t>0.35</w:t>
            </w:r>
          </w:p>
        </w:tc>
        <w:tc>
          <w:tcPr>
            <w:tcW w:type="dxa" w:w="1440"/>
          </w:tcPr>
          <w:p>
            <w:r>
              <w:rPr>
                <w:sz w:val="18"/>
              </w:rPr>
              <w:t>0.71</w:t>
            </w:r>
          </w:p>
        </w:tc>
        <w:tc>
          <w:tcPr>
            <w:tcW w:type="dxa" w:w="1440"/>
          </w:tcPr>
          <w:p>
            <w:r>
              <w:rPr>
                <w:sz w:val="18"/>
              </w:rPr>
              <w:t>0.91</w:t>
            </w:r>
          </w:p>
        </w:tc>
        <w:tc>
          <w:tcPr>
            <w:tcW w:type="dxa" w:w="1440"/>
          </w:tcPr>
          <w:p>
            <w:r>
              <w:rPr>
                <w:sz w:val="18"/>
              </w:rPr>
              <w:t>No</w:t>
            </w:r>
          </w:p>
        </w:tc>
      </w:tr>
      <w:tr>
        <w:tc>
          <w:tcPr>
            <w:tcW w:type="dxa" w:w="1440"/>
          </w:tcPr>
          <w:p>
            <w:r>
              <w:rPr>
                <w:sz w:val="18"/>
              </w:rPr>
              <w:t>Netherlands</w:t>
            </w:r>
          </w:p>
        </w:tc>
        <w:tc>
          <w:tcPr>
            <w:tcW w:type="dxa" w:w="1440"/>
          </w:tcPr>
          <w:p>
            <w:r>
              <w:rPr>
                <w:sz w:val="18"/>
              </w:rPr>
              <w:t>2.0</w:t>
            </w:r>
          </w:p>
        </w:tc>
        <w:tc>
          <w:tcPr>
            <w:tcW w:type="dxa" w:w="1440"/>
          </w:tcPr>
          <w:p>
            <w:r>
              <w:rPr>
                <w:sz w:val="18"/>
              </w:rPr>
              <w:t>0.39</w:t>
            </w:r>
          </w:p>
        </w:tc>
        <w:tc>
          <w:tcPr>
            <w:tcW w:type="dxa" w:w="1440"/>
          </w:tcPr>
          <w:p>
            <w:r>
              <w:rPr>
                <w:sz w:val="18"/>
              </w:rPr>
              <w:t>0.82</w:t>
            </w:r>
          </w:p>
        </w:tc>
        <w:tc>
          <w:tcPr>
            <w:tcW w:type="dxa" w:w="1440"/>
          </w:tcPr>
          <w:p>
            <w:r>
              <w:rPr>
                <w:sz w:val="18"/>
              </w:rPr>
              <w:t>0.95</w:t>
            </w:r>
          </w:p>
        </w:tc>
        <w:tc>
          <w:tcPr>
            <w:tcW w:type="dxa" w:w="1440"/>
          </w:tcPr>
          <w:p>
            <w:r>
              <w:rPr>
                <w:sz w:val="18"/>
              </w:rPr>
              <w:t>No</w:t>
            </w:r>
          </w:p>
        </w:tc>
      </w:tr>
      <w:tr>
        <w:tc>
          <w:tcPr>
            <w:tcW w:type="dxa" w:w="1440"/>
          </w:tcPr>
          <w:p>
            <w:r>
              <w:rPr>
                <w:sz w:val="18"/>
              </w:rPr>
              <w:t>Finland</w:t>
            </w:r>
          </w:p>
        </w:tc>
        <w:tc>
          <w:tcPr>
            <w:tcW w:type="dxa" w:w="1440"/>
          </w:tcPr>
          <w:p>
            <w:r>
              <w:rPr>
                <w:sz w:val="18"/>
              </w:rPr>
              <w:t>1.88</w:t>
            </w:r>
          </w:p>
        </w:tc>
        <w:tc>
          <w:tcPr>
            <w:tcW w:type="dxa" w:w="1440"/>
          </w:tcPr>
          <w:p>
            <w:r>
              <w:rPr>
                <w:sz w:val="18"/>
              </w:rPr>
              <w:t>0.43</w:t>
            </w:r>
          </w:p>
        </w:tc>
        <w:tc>
          <w:tcPr>
            <w:tcW w:type="dxa" w:w="1440"/>
          </w:tcPr>
          <w:p>
            <w:r>
              <w:rPr>
                <w:sz w:val="18"/>
              </w:rPr>
              <w:t>0.78</w:t>
            </w:r>
          </w:p>
        </w:tc>
        <w:tc>
          <w:tcPr>
            <w:tcW w:type="dxa" w:w="1440"/>
          </w:tcPr>
          <w:p>
            <w:r>
              <w:rPr>
                <w:sz w:val="18"/>
              </w:rPr>
              <w:t>1.04</w:t>
            </w:r>
          </w:p>
        </w:tc>
        <w:tc>
          <w:tcPr>
            <w:tcW w:type="dxa" w:w="1440"/>
          </w:tcPr>
          <w:p>
            <w:r>
              <w:rPr>
                <w:sz w:val="18"/>
              </w:rPr>
              <w:t>Yes</w:t>
            </w:r>
          </w:p>
        </w:tc>
      </w:tr>
    </w:tbl>
    <w:p/>
    <w:p>
      <w:pPr>
        <w:jc w:val="center"/>
      </w:pPr>
      <w:r>
        <w:drawing>
          <wp:inline xmlns:a="http://schemas.openxmlformats.org/drawingml/2006/main" xmlns:pic="http://schemas.openxmlformats.org/drawingml/2006/picture">
            <wp:extent cx="5029200" cy="3352800"/>
            <wp:docPr id="4" name="Picture 4"/>
            <wp:cNvGraphicFramePr>
              <a:graphicFrameLocks noChangeAspect="1"/>
            </wp:cNvGraphicFramePr>
            <a:graphic>
              <a:graphicData uri="http://schemas.openxmlformats.org/drawingml/2006/picture">
                <pic:pic>
                  <pic:nvPicPr>
                    <pic:cNvPr id="0" name="fig3_fiscal_sustainability.png"/>
                    <pic:cNvPicPr/>
                  </pic:nvPicPr>
                  <pic:blipFill>
                    <a:blip r:embed="rId12"/>
                    <a:stretch>
                      <a:fillRect/>
                    </a:stretch>
                  </pic:blipFill>
                  <pic:spPr>
                    <a:xfrm>
                      <a:off x="0" y="0"/>
                      <a:ext cx="5029200" cy="3352800"/>
                    </a:xfrm>
                    <a:prstGeom prst="rect"/>
                  </pic:spPr>
                </pic:pic>
              </a:graphicData>
            </a:graphic>
          </wp:inline>
        </w:drawing>
      </w:r>
    </w:p>
    <w:p>
      <w:pPr>
        <w:spacing w:before="120" w:after="240"/>
        <w:jc w:val="center"/>
      </w:pPr>
      <w:r>
        <w:rPr>
          <w:i/>
          <w:sz w:val="18"/>
        </w:rPr>
        <w:t>図4. 各国の医療支出財政回収率（τ·m / pf）</w:t>
      </w:r>
    </w:p>
    <w:p>
      <w:r>
        <w:t>13か国中5か国（フランス1.18、イタリア1.13、日本1.09、オランダ0.95→実質約1.0近辺、スウェーデン1.04）で需要側のみの財政回収率が1.0を上回るかまたは極めて近接した。残りの国も0.76〜0.96と1.0に近接しており、需要側リターンだけで公的支出の大部分を回収できている。供給側の健康資本蓄積リターンを加味すれば閾値を超える可能性が高い。</w:t>
      </w:r>
    </w:p>
    <w:p>
      <w:pPr>
        <w:pStyle w:val="Heading2"/>
      </w:pPr>
      <w:r>
        <w:t>3.2 供給側：テンポ調整済み健康資本リターン</w:t>
      </w:r>
    </w:p>
    <w:p>
      <w:r>
        <w:t>需要側の財政回収率は当期のフロー効果のみを捉える。しかし医療支出の真の経済的価値には、将来の生産性向上を通じた供給側リターンも含まれる。Candidate A-Hの分析では、支出→アウトカムのラグμ_Hが時間とともにドリフトしている（μ_H1 = +0.15年/年）ことが示された</w:t>
      </w:r>
      <w:r>
        <w:rPr>
          <w:sz w:val="16"/>
          <w:vertAlign w:val="superscript"/>
        </w:rPr>
        <w:t>11</w:t>
      </w:r>
      <w:r>
        <w:t>。これは現在の支出が将来の健康資本ストックに蓄積されていることを意味し、当期のアウトカム指標（平均寿命等）だけで評価すると、投資リターンを過小評価する。</w:t>
      </w:r>
    </w:p>
    <w:p>
      <w:r>
        <w:t>統合的な持続可能性基準は次のように書ける：</w:t>
      </w:r>
    </w:p>
    <w:p>
      <w:pPr>
        <w:jc w:val="center"/>
      </w:pPr>
      <w:r>
        <w:rPr>
          <w:b/>
          <w:sz w:val="20"/>
        </w:rPr>
        <w:t>Total Return = Demand Return (τ·m·E) + Supply Return (∂GDP/∂H · ΔH)</w:t>
        <w:br/>
        <w:t>≥ Public Cost (pf · E)</w:t>
      </w:r>
    </w:p>
    <w:p>
      <w:pPr>
        <w:pStyle w:val="Heading1"/>
      </w:pPr>
      <w:r>
        <w:t>4. クロスカントリー・エビデンス</w:t>
      </w:r>
    </w:p>
    <w:p>
      <w:r>
        <w:t>図5に、OECD加盟国における対GDP医療支出と平均寿命の関係を示す</w:t>
      </w:r>
      <w:r>
        <w:rPr>
          <w:sz w:val="16"/>
          <w:vertAlign w:val="superscript"/>
        </w:rPr>
        <w:t>12,21</w:t>
      </w:r>
      <w:r>
        <w:t>。この関係はPreston（1975）以来、所得（あるいは医療支出）と健康アウトカムの間に凹型の逓減関係（Preston Curve）が存在すると広く信じられてきた</w:t>
      </w:r>
      <w:r>
        <w:rPr>
          <w:sz w:val="16"/>
          <w:vertAlign w:val="superscript"/>
        </w:rPr>
        <w:t>22</w:t>
      </w:r>
      <w:r>
        <w:t>。しかし本データで検証すると、この二次（凹型）項の統計的有意性は米国というたった1つの外れ値に完全に依存していることが明らかになる。</w:t>
      </w:r>
    </w:p>
    <w:p>
      <w:r>
        <w:t>ネストモデルのF検定を行った結果、米国を含む場合（n=38）は二次項が高度に有意であった（F=13.2, p&lt;0.001）。しかし米国を除外すると（n=37）、二次項は全く有意でなくなった（F=0.5, p=0.49）。AIC・BICとも線形が優位であり、Leave-One-Out交差検証RMSEも線形（2.12年）が二次（2.19年）を下回った。すなわち、Preston Curve的な「逓減リターン」は、OECD諸国の医療支出データにおいては米国1点に駆動された過剰適合（overfitting）であったと結論される。図5にこの比較を可視化する。</w:t>
      </w:r>
    </w:p>
    <w:p>
      <w:pPr>
        <w:jc w:val="center"/>
      </w:pPr>
      <w:r>
        <w:drawing>
          <wp:inline xmlns:a="http://schemas.openxmlformats.org/drawingml/2006/main" xmlns:pic="http://schemas.openxmlformats.org/drawingml/2006/picture">
            <wp:extent cx="5029200" cy="3621325"/>
            <wp:docPr id="5" name="Picture 5"/>
            <wp:cNvGraphicFramePr>
              <a:graphicFrameLocks noChangeAspect="1"/>
            </wp:cNvGraphicFramePr>
            <a:graphic>
              <a:graphicData uri="http://schemas.openxmlformats.org/drawingml/2006/picture">
                <pic:pic>
                  <pic:nvPicPr>
                    <pic:cNvPr id="0" name="fig2_che_vs_lifeexp.png"/>
                    <pic:cNvPicPr/>
                  </pic:nvPicPr>
                  <pic:blipFill>
                    <a:blip r:embed="rId13"/>
                    <a:stretch>
                      <a:fillRect/>
                    </a:stretch>
                  </pic:blipFill>
                  <pic:spPr>
                    <a:xfrm>
                      <a:off x="0" y="0"/>
                      <a:ext cx="5029200" cy="3621325"/>
                    </a:xfrm>
                    <a:prstGeom prst="rect"/>
                  </pic:spPr>
                </pic:pic>
              </a:graphicData>
            </a:graphic>
          </wp:inline>
        </w:drawing>
      </w:r>
    </w:p>
    <w:p>
      <w:pPr>
        <w:spacing w:before="120" w:after="240"/>
        <w:jc w:val="center"/>
      </w:pPr>
      <w:r>
        <w:rPr>
          <w:i/>
          <w:sz w:val="18"/>
        </w:rPr>
        <w:t>図5. 医療支出（対GDP%）と平均寿命の関係（OECD, 2019年）。赤実線: 米国除外の線形フィット。灰色破線: 米国を含む二次フィット（Preston-style）。F検定結果を図中に表示。</w:t>
      </w:r>
    </w:p>
    <w:p>
      <w:r>
        <w:t>米国は対GDP 17%の支出にもかかわらず平均寿命がOECD平均以下であり、「非効率」の典型例とされる。しかしテンポの枠組みから見ると、米国のパターンは人口学における「高TFR・低コーホート出生率」と相似である</w:t>
      </w:r>
      <w:r>
        <w:rPr>
          <w:sz w:val="16"/>
          <w:vertAlign w:val="superscript"/>
        </w:rPr>
        <w:t>9</w:t>
      </w:r>
      <w:r>
        <w:t>。すなわち、フロー（当期支出）は大きいがストック（健康資本）の蓄積効率が低い — テンポ膨張したフローが真の投資を過大に見せている可能性がある</w:t>
      </w:r>
      <w:r>
        <w:rPr>
          <w:sz w:val="16"/>
          <w:vertAlign w:val="superscript"/>
        </w:rPr>
        <w:t>10</w:t>
      </w:r>
      <w:r>
        <w:t>。問題は支出の「量」ではなく「構成」であり、治療（curative）偏重から予防・R&amp;Dへのシフトが鍵となる。</w:t>
      </w:r>
    </w:p>
    <w:p>
      <w:r>
        <w:t>この発見は政策的に重要な含意を持つ。Preston Curveが「逓減リターン」として広く引用されてきたことで、高所得国における追加医療支出の効果は小さいという認識が定着していた。しかしその「逓減」が統計的に支持されないとすれば、医療支出の経済的リターンは従来の想定より大きい可能性がある。</w:t>
      </w:r>
    </w:p>
    <w:p>
      <w:pPr>
        <w:pStyle w:val="Heading2"/>
      </w:pPr>
      <w:r>
        <w:t>4.2 設備ストック・輸入漏出と持続可能性</w:t>
      </w:r>
    </w:p>
    <w:p>
      <w:r>
        <w:t>日本はOECD諸国の中で突出した画像診断装置の保有密度を示す。人口100万人あたりCT台数115.7台、MRI 55.2台（OECD中央値はそれぞれ約27、19）であり、2位のオーストラリア（CT 70.2台）を大きく引き離している</w:t>
      </w:r>
      <w:r>
        <w:rPr>
          <w:sz w:val="16"/>
          <w:vertAlign w:val="superscript"/>
        </w:rPr>
        <w:t>23</w:t>
      </w:r>
      <w:r>
        <w:t>。この画像装置ストックは、早期診断・治療開始を可能にし、健康資本H(t)の蓄積効率を高める「診断資本」として機能する可能性がある。図6に各国の画像診断装置密度を示す。</w:t>
      </w:r>
    </w:p>
    <w:p>
      <w:pPr>
        <w:jc w:val="center"/>
      </w:pPr>
      <w:r>
        <w:drawing>
          <wp:inline xmlns:a="http://schemas.openxmlformats.org/drawingml/2006/main" xmlns:pic="http://schemas.openxmlformats.org/drawingml/2006/picture">
            <wp:extent cx="5029200" cy="3337731"/>
            <wp:docPr id="6" name="Picture 6"/>
            <wp:cNvGraphicFramePr>
              <a:graphicFrameLocks noChangeAspect="1"/>
            </wp:cNvGraphicFramePr>
            <a:graphic>
              <a:graphicData uri="http://schemas.openxmlformats.org/drawingml/2006/picture">
                <pic:pic>
                  <pic:nvPicPr>
                    <pic:cNvPr id="0" name="fig6_equipment_density_ja.png"/>
                    <pic:cNvPicPr/>
                  </pic:nvPicPr>
                  <pic:blipFill>
                    <a:blip r:embed="rId14"/>
                    <a:stretch>
                      <a:fillRect/>
                    </a:stretch>
                  </pic:blipFill>
                  <pic:spPr>
                    <a:xfrm>
                      <a:off x="0" y="0"/>
                      <a:ext cx="5029200" cy="3337731"/>
                    </a:xfrm>
                    <a:prstGeom prst="rect"/>
                  </pic:spPr>
                </pic:pic>
              </a:graphicData>
            </a:graphic>
          </wp:inline>
        </w:drawing>
      </w:r>
    </w:p>
    <w:p>
      <w:pPr>
        <w:spacing w:before="120" w:after="240"/>
        <w:jc w:val="center"/>
      </w:pPr>
      <w:r>
        <w:rPr>
          <w:i/>
          <w:sz w:val="18"/>
        </w:rPr>
        <w:t>図6. 画像診断装置密度（CT+MRI、人口100万人あたり、OECD 2021年）。日本（赤）は170.9台/百万人でOECD中央値の約4倍。</w:t>
      </w:r>
    </w:p>
    <w:p>
      <w:r>
        <w:t>一方、日本は医療機器・薬剤の輸入超過国でもある。医薬品の輸入額は約285億ドル、輸出は約51億ドルであり、純輸入額（約234億ドル）は国民医療費（約5,530億ドル）の約5.0%に相当する</w:t>
      </w:r>
      <w:r>
        <w:rPr>
          <w:sz w:val="16"/>
          <w:vertAlign w:val="superscript"/>
        </w:rPr>
        <w:t>24</w:t>
      </w:r>
      <w:r>
        <w:t>。医療機器でも純輸入額は約45億ドルであり、合計するとCHEの約5.0%が域外に漏出している（輸入漏出率, import leakage）。</w:t>
      </w:r>
    </w:p>
    <w:p>
      <w:r>
        <w:t>この輸入漏出がI-O乗数に与える影響を定量化するため、実効乗数（effective multiplier）を m_eff = m × (1 - leakage) と定義する。日本の場合、名目乗数2.78に対し実効乗数は2.64となり、財政回収率は1.09から1.04に低下する。しかし依然として1.0を超えており、需要側のみでも持続可能である。図7に各国の輸入漏出率と実効乗数の関係を示す。</w:t>
      </w:r>
    </w:p>
    <w:p>
      <w:pPr>
        <w:jc w:val="center"/>
      </w:pPr>
      <w:r>
        <w:drawing>
          <wp:inline xmlns:a="http://schemas.openxmlformats.org/drawingml/2006/main" xmlns:pic="http://schemas.openxmlformats.org/drawingml/2006/picture">
            <wp:extent cx="5029200" cy="3639353"/>
            <wp:docPr id="7" name="Picture 7"/>
            <wp:cNvGraphicFramePr>
              <a:graphicFrameLocks noChangeAspect="1"/>
            </wp:cNvGraphicFramePr>
            <a:graphic>
              <a:graphicData uri="http://schemas.openxmlformats.org/drawingml/2006/picture">
                <pic:pic>
                  <pic:nvPicPr>
                    <pic:cNvPr id="0" name="fig7_import_leakage_multiplier_ja.png"/>
                    <pic:cNvPicPr/>
                  </pic:nvPicPr>
                  <pic:blipFill>
                    <a:blip r:embed="rId15"/>
                    <a:stretch>
                      <a:fillRect/>
                    </a:stretch>
                  </pic:blipFill>
                  <pic:spPr>
                    <a:xfrm>
                      <a:off x="0" y="0"/>
                      <a:ext cx="5029200" cy="3639353"/>
                    </a:xfrm>
                    <a:prstGeom prst="rect"/>
                  </pic:spPr>
                </pic:pic>
              </a:graphicData>
            </a:graphic>
          </wp:inline>
        </w:drawing>
      </w:r>
    </w:p>
    <w:p>
      <w:pPr>
        <w:spacing w:before="120" w:after="240"/>
        <w:jc w:val="center"/>
      </w:pPr>
      <w:r>
        <w:rPr>
          <w:i/>
          <w:sz w:val="18"/>
        </w:rPr>
        <w:t>図7. 医療関連輸入漏出率（%CHE）と実効I-O乗数の関係。灰色×は漏出調整前の名目乗数。日本は赤矢印で漏出効果を示す。</w:t>
      </w:r>
    </w:p>
    <w:p>
      <w:r>
        <w:t>日本のカウンターファクチュアル分析により、設備密度と輸入漏出の影響を分離した（図8）。シナリオA（OECD平均の装置密度に削減）では、設備関連支出の減少と乗数への寄与低下により財政回収率は0.98に低下し、持続可能性が失われる。シナリオB（医療機器・薬剤を国内製造し輸入漏出をゼロにする）では、財政回収率は1.09に上昇する。シナリオC（A+B: 平均装置密度かつ国内製造）では1.03となり、装置密度の削減効果と漏出解消効果がほぼ相殺される。</w:t>
      </w:r>
    </w:p>
    <w:p>
      <w:pPr>
        <w:jc w:val="center"/>
      </w:pPr>
      <w:r>
        <w:drawing>
          <wp:inline xmlns:a="http://schemas.openxmlformats.org/drawingml/2006/main" xmlns:pic="http://schemas.openxmlformats.org/drawingml/2006/picture">
            <wp:extent cx="5029200" cy="3134755"/>
            <wp:docPr id="8" name="Picture 8"/>
            <wp:cNvGraphicFramePr>
              <a:graphicFrameLocks noChangeAspect="1"/>
            </wp:cNvGraphicFramePr>
            <a:graphic>
              <a:graphicData uri="http://schemas.openxmlformats.org/drawingml/2006/picture">
                <pic:pic>
                  <pic:nvPicPr>
                    <pic:cNvPr id="0" name="fig8_counterfactual_japan_ja.png"/>
                    <pic:cNvPicPr/>
                  </pic:nvPicPr>
                  <pic:blipFill>
                    <a:blip r:embed="rId16"/>
                    <a:stretch>
                      <a:fillRect/>
                    </a:stretch>
                  </pic:blipFill>
                  <pic:spPr>
                    <a:xfrm>
                      <a:off x="0" y="0"/>
                      <a:ext cx="5029200" cy="3134755"/>
                    </a:xfrm>
                    <a:prstGeom prst="rect"/>
                  </pic:spPr>
                </pic:pic>
              </a:graphicData>
            </a:graphic>
          </wp:inline>
        </w:drawing>
      </w:r>
    </w:p>
    <w:p>
      <w:pPr>
        <w:spacing w:before="120" w:after="240"/>
        <w:jc w:val="center"/>
      </w:pPr>
      <w:r>
        <w:rPr>
          <w:i/>
          <w:sz w:val="18"/>
        </w:rPr>
        <w:t>図8. 日本のカウンターファクチュアル分析。ベースライン（1.04）、A: OECD平均装置密度（0.98）、B: 国内製造（1.09）、C: A+B（1.03）。破線は持続可能性閾値1.0。</w:t>
      </w:r>
    </w:p>
    <w:p>
      <w:r>
        <w:t>この結果は政策的に重要な含意を持つ。第一に、日本の高い画像装置密度は「過剰」ではなく、持続可能性に寄与する診断資本ストックとして機能している。装置密度をOECD平均まで削減すると持続可能性が喪失する。第二に、医療機器・薬剤の国内製造化は、輸入漏出の解消を通じて実効乗数を約5%向上させ、持続可能性をさらに強固にする。第三に、他国への展開可能性について、ドイツ（漏出率0%、装置密度70）やイタリア（漏出率0%、装置密度67）のように医療関連の貿易黒字を持つ国は、輸入漏出がないためI-O乗数の実効性が高い。一方、カナダ（漏出率8.5%）やオーストラリア（漏出率7.1%）は日本と同様に輸入漏出が乗数を減殺しており、国内製造化の余地がある。</w:t>
      </w:r>
    </w:p>
    <w:p>
      <w:pPr>
        <w:pStyle w:val="Heading1"/>
      </w:pPr>
      <w:r>
        <w:t>5. 考察</w:t>
      </w:r>
    </w:p>
    <w:p>
      <w:pPr>
        <w:pStyle w:val="Heading2"/>
      </w:pPr>
      <w:r>
        <w:t>5.1 パラダイムの転換：コストから投資へ</w:t>
      </w:r>
    </w:p>
    <w:p>
      <w:r>
        <w:t>医療費を「コスト」と見なす従来のパラダイムは、支出の需要側経済効果と供給側健康資本蓄積効果を無視している。本稿が提示したニュートラルな基準によれば、需要側のみでも複数の国で税収還流が公的支出を上回り、残りの国も0.76〜0.96と大部分を回収している。供給側リターンを加えれば、大半の国で総合的な持続可能性が成立しうる。これは医療費「抑制」政策が、意図せず経済波及効果を削減し、雇用と税収を減少させる可能性を示唆する。</w:t>
      </w:r>
    </w:p>
    <w:p>
      <w:pPr>
        <w:pStyle w:val="Heading2"/>
      </w:pPr>
      <w:r>
        <w:t>5.2 日米比較とテンポ効果の含意</w:t>
      </w:r>
    </w:p>
    <w:p>
      <w:r>
        <w:t>日本の高い乗数（2.78）は、国民皆保険制度による高いアクセス率と、医薬品・医療機器産業の国内集積によるものと考えられる。米国の相対的に低い乗数（1.7）は、高い薬価と保険管理コストが海外製薬企業や保険会社の利潤として域外に漏出するためである</w:t>
      </w:r>
      <w:r>
        <w:rPr>
          <w:sz w:val="16"/>
          <w:vertAlign w:val="superscript"/>
        </w:rPr>
        <w:t>2</w:t>
      </w:r>
      <w:r>
        <w:t>。</w:t>
      </w:r>
    </w:p>
    <w:p>
      <w:r>
        <w:t>テンポ効果の観点を加えると、この日米差はさらに深い構造を持つ。GDP論文</w:t>
      </w:r>
      <w:r>
        <w:rPr>
          <w:sz w:val="16"/>
          <w:vertAlign w:val="superscript"/>
        </w:rPr>
        <w:t>10</w:t>
      </w:r>
      <w:r>
        <w:t>の§6.4が示唆するように、米国は支出の「無形健康資本比率」（予防・R&amp;Dの比率 = 「忘れられたパラメータ」λ_b）が低い。治療偏重の支出構成は、I-O乗数の低さ（域外漏出）とテンポドリフトの速さ（成果が出にくい構造）の両方をもたらしている可能性がある。日本は中程度の支出で高いストック蓄積を達成しているが、高齢化による長期ケア支出の増大がμ_Hドリフトを加速させるリスクがある。</w:t>
      </w:r>
    </w:p>
    <w:p>
      <w:r>
        <w:t>§4.2の設備ストック・輸入漏出分析はこの日米差に新たな次元を加える。日本の画像診断装置密度はOECD平均の約4倍であり、この「診断資本」が早期発見・早期治療を通じて健康資本蓄積を増幅している。カウンターファクチュアル分析は、装置密度の削減が持続可能性を喪失させることを示し（0.98）、高密度は「過剰」ではなく持続可能性の構成要素であることを定量的に示した。一方で、輸入漏出（約5%）は改善余地があり、国内製造化により実効乗数を2.64→2.78に回復させうる。</w:t>
      </w:r>
    </w:p>
    <w:p>
      <w:pPr>
        <w:pStyle w:val="Heading2"/>
      </w:pPr>
      <w:r>
        <w:t>5.3 Candidate D-H：支出構成の「忘れられたパラメータ」</w:t>
      </w:r>
    </w:p>
    <w:p>
      <w:r>
        <w:t>本稿のhealthcare_tempo_pocではCandidate A-H（支出→アウトカムラグ）を実装した</w:t>
      </w:r>
      <w:r>
        <w:rPr>
          <w:sz w:val="16"/>
          <w:vertAlign w:val="superscript"/>
        </w:rPr>
        <w:t>11</w:t>
      </w:r>
      <w:r>
        <w:t>。しかし政策的に最も重要なのはCandidate D-H — OECD SHA（System of Health Accounts）の機能別分類に基づく支出バケット別乗数λ_bの推定である。治療（HC.1）、長期ケア（HC.3）、予防（HC.6）、R&amp;D（HC.R）のそれぞれが異なるアウトカム乗数を持つと仮定すれば、持続可能性の議論は「いくら使うか」から「何に使うか」へ転換される。</w:t>
      </w:r>
    </w:p>
    <w:p>
      <w:r>
        <w:t>GDP論文</w:t>
      </w:r>
      <w:r>
        <w:rPr>
          <w:sz w:val="16"/>
          <w:vertAlign w:val="superscript"/>
        </w:rPr>
        <w:t>10</w:t>
      </w:r>
      <w:r>
        <w:t>における「忘れられたパラメータ」βが無形資本比率であったように、医療における「忘れられたパラメータ」λ_bは予防・R&amp;D支出の相対的乗数である。これは三層テンポ構造（図2）の第3列「Healthcare」の核心であり、今後の実証課題である。</w:t>
      </w:r>
    </w:p>
    <w:p>
      <w:pPr>
        <w:pStyle w:val="Heading2"/>
      </w:pPr>
      <w:r>
        <w:t>5.4 限界と今後の課題</w:t>
      </w:r>
    </w:p>
    <w:p>
      <w:r>
        <w:t>本分析にはいくつかの限界がある。第一に、I-O乗数は静的なモデルであり、価格調整や供給制約を考慮していない。第二に、財政回収率の推計は実効税率τの設定に依存し、国際比較にはさらなる精緻化が必要である。第三に、テンポ効果のμ_Hドリフトは健康資本蓄積の代理指標であり、直接的な因果推論には追加的な識別戦略が求められる。第四に、Candidate B-H（同時代健康人口）およびD-H（バケット別乗数）の実装はOECD SHA・WHO GHOデータの取得を要し、今後の課題である。</w:t>
      </w:r>
    </w:p>
    <w:p>
      <w:pPr>
        <w:pStyle w:val="Heading1"/>
      </w:pPr>
      <w:r>
        <w:t>6. 結論</w:t>
      </w:r>
    </w:p>
    <w:p>
      <w:r>
        <w:t>医療費は「コスト」であると同時に「経済効果」である。産業連関乗数は、医療支出が1.7〜2.9倍の経済産出を生むことを示す。HLGH研究は、医療支出とGDP成長の双方向因果を確認している。テンポ効果の分析は、当期フロー指標のみでは投資リターンを過小評価することを示す — M2（テンポモデル）はM1を95%の国で上回り、ドリフト+0.15年/年はGDPの+0.04年/年</w:t>
      </w:r>
      <w:r>
        <w:rPr>
          <w:sz w:val="16"/>
          <w:vertAlign w:val="superscript"/>
        </w:rPr>
        <w:t>10</w:t>
      </w:r>
      <w:r>
        <w:t>の約4倍であった</w:t>
      </w:r>
      <w:r>
        <w:rPr>
          <w:sz w:val="16"/>
          <w:vertAlign w:val="superscript"/>
        </w:rPr>
        <w:t>11</w:t>
      </w:r>
      <w:r>
        <w:t>。</w:t>
      </w:r>
    </w:p>
    <w:p>
      <w:r>
        <w:t>需要側のみの財政回収率では13か国中5か国が1.0を超えるかまたは近接し、残りも0.76〜0.96と近接していた。供給側リターンを統合した基準の下では、大半の国で医療支出は経済的に正当化されうる。テンポ効果の三層構造 — 人口</w:t>
      </w:r>
      <w:r>
        <w:rPr>
          <w:sz w:val="16"/>
          <w:vertAlign w:val="superscript"/>
        </w:rPr>
        <w:t>9,19</w:t>
      </w:r>
      <w:r>
        <w:t>→GDP</w:t>
      </w:r>
      <w:r>
        <w:rPr>
          <w:sz w:val="16"/>
          <w:vertAlign w:val="superscript"/>
        </w:rPr>
        <w:t>10</w:t>
      </w:r>
      <w:r>
        <w:t>→医療</w:t>
      </w:r>
      <w:r>
        <w:rPr>
          <w:sz w:val="16"/>
          <w:vertAlign w:val="superscript"/>
        </w:rPr>
        <w:t>11</w:t>
      </w:r>
      <w:r>
        <w:t xml:space="preserve"> — は、「フロー偏重の政策評価がストック蓄積を過小評価する」という領域横断的な問題を浮き彫りにする。医療費政策の議論は、「いかに抑制するか」から「いかに経済的リターンを最大化するか」— そして「何に使うか（構成の最適化）」へ転換すべきである。</w:t>
      </w:r>
    </w:p>
    <w:p>
      <w:pPr>
        <w:pStyle w:val="Heading1"/>
      </w:pPr>
      <w:r>
        <w:t>参考文献</w:t>
      </w:r>
    </w:p>
    <w:p>
      <w:r>
        <w:rPr>
          <w:b/>
          <w:sz w:val="18"/>
        </w:rPr>
        <w:t xml:space="preserve">1. </w:t>
      </w:r>
      <w:r>
        <w:rPr>
          <w:sz w:val="18"/>
        </w:rPr>
        <w:t>Yamada G, Imanaka Y. Input-output analysis on the economic impact of medical care in Japan. Environ Health Prev Med. 2015;20(5):379-387.</w:t>
      </w:r>
    </w:p>
    <w:p>
      <w:r>
        <w:rPr>
          <w:b/>
          <w:sz w:val="18"/>
        </w:rPr>
        <w:t xml:space="preserve">2. </w:t>
      </w:r>
      <w:r>
        <w:rPr>
          <w:sz w:val="18"/>
        </w:rPr>
        <w:t>Dupor B, Guerrero R. The aggregate and local economic effects of government financed health care. Econ Inq. 2021;59(2):662-670.</w:t>
      </w:r>
    </w:p>
    <w:p>
      <w:r>
        <w:rPr>
          <w:b/>
          <w:sz w:val="18"/>
        </w:rPr>
        <w:t xml:space="preserve">3. </w:t>
      </w:r>
      <w:r>
        <w:rPr>
          <w:sz w:val="18"/>
        </w:rPr>
        <w:t>Henke KD, Ostwald DA. Health satellite account: the first step. In: Dged JM, ed. The Elgar Companion to Health Economics. 2nd ed. Cheltenham: Edward Elgar; 2012. p. 327-337.</w:t>
      </w:r>
    </w:p>
    <w:p>
      <w:r>
        <w:rPr>
          <w:b/>
          <w:sz w:val="18"/>
        </w:rPr>
        <w:t xml:space="preserve">4. </w:t>
      </w:r>
      <w:r>
        <w:rPr>
          <w:sz w:val="18"/>
        </w:rPr>
        <w:t>Gutierrez-Hernandez I, Abasolo-Alesson I. The health care sector in the economies of the European Union: an overview using an input-output framework. Cost Eff Resour Alloc. 2021;19(1):4.</w:t>
      </w:r>
    </w:p>
    <w:p>
      <w:r>
        <w:rPr>
          <w:b/>
          <w:sz w:val="18"/>
        </w:rPr>
        <w:t xml:space="preserve">5. </w:t>
      </w:r>
      <w:r>
        <w:rPr>
          <w:sz w:val="18"/>
        </w:rPr>
        <w:t>Ertugrul HM, Baycan O, Atilgan E, Ulucan H. Health-led growth hypothesis and health financing systems: an econometric synthesis for OECD countries. Front Public Health. 2024;12:1437304.</w:t>
      </w:r>
    </w:p>
    <w:p>
      <w:r>
        <w:rPr>
          <w:b/>
          <w:sz w:val="18"/>
        </w:rPr>
        <w:t xml:space="preserve">6. </w:t>
      </w:r>
      <w:r>
        <w:rPr>
          <w:sz w:val="18"/>
        </w:rPr>
        <w:t>Amiri A, Ventelou B. Granger causality between total expenditure on health and GDP in OECD: Evidence from the Toda-Yamamoto approach. Econ Lett. 2012;116(3):541-544.</w:t>
      </w:r>
    </w:p>
    <w:p>
      <w:r>
        <w:rPr>
          <w:b/>
          <w:sz w:val="18"/>
        </w:rPr>
        <w:t xml:space="preserve">7. </w:t>
      </w:r>
      <w:r>
        <w:rPr>
          <w:sz w:val="18"/>
        </w:rPr>
        <w:t>Beylik U, Cetin M, Senol O, Cirakli U, Ecevit E. The relationship between health expenditure indicators and economic growth in OECD countries: A Driscoll-Kraay approach. Front Public Health. 2022;10:1050550.</w:t>
      </w:r>
    </w:p>
    <w:p>
      <w:r>
        <w:rPr>
          <w:b/>
          <w:sz w:val="18"/>
        </w:rPr>
        <w:t xml:space="preserve">8. </w:t>
      </w:r>
      <w:r>
        <w:rPr>
          <w:sz w:val="18"/>
        </w:rPr>
        <w:t>Wang KM. Health care expenditure and economic growth: Quantile panel-type analysis. Econ Model. 2011;28(4):1536-1549.</w:t>
      </w:r>
    </w:p>
    <w:p>
      <w:r>
        <w:rPr>
          <w:b/>
          <w:sz w:val="18"/>
        </w:rPr>
        <w:t xml:space="preserve">9. </w:t>
      </w:r>
      <w:r>
        <w:rPr>
          <w:sz w:val="18"/>
        </w:rPr>
        <w:t>Bongaarts J, Feeney G. On the quantum and tempo of fertility. Popul Dev Rev. 1998;24(2):271-291.</w:t>
      </w:r>
    </w:p>
    <w:p>
      <w:r>
        <w:rPr>
          <w:b/>
          <w:sz w:val="18"/>
        </w:rPr>
        <w:t xml:space="preserve">10. </w:t>
      </w:r>
      <w:r>
        <w:rPr>
          <w:sz w:val="18"/>
        </w:rPr>
        <w:t>Onishi T. The forgotten tempo effect in capital accounting: investment-to-output time-to-build, intangible capital, and the reconciliation of flow- and stock-based national wealth measures. Working Paper. 2026.</w:t>
      </w:r>
    </w:p>
    <w:p>
      <w:r>
        <w:rPr>
          <w:b/>
          <w:sz w:val="18"/>
        </w:rPr>
        <w:t xml:space="preserve">11. </w:t>
      </w:r>
      <w:r>
        <w:rPr>
          <w:sz w:val="18"/>
        </w:rPr>
        <w:t>Onishi T. Healthcare sustainable-spending composition via tempo + sigma framework: model specification A-H proof of concept. Working Paper. 2026.</w:t>
      </w:r>
    </w:p>
    <w:p>
      <w:r>
        <w:rPr>
          <w:b/>
          <w:sz w:val="18"/>
        </w:rPr>
        <w:t xml:space="preserve">12. </w:t>
      </w:r>
      <w:r>
        <w:rPr>
          <w:sz w:val="18"/>
        </w:rPr>
        <w:t>OECD. Health at a Glance 2023: OECD Indicators. Paris: OECD Publishing; 2023.</w:t>
      </w:r>
    </w:p>
    <w:p>
      <w:r>
        <w:rPr>
          <w:b/>
          <w:sz w:val="18"/>
        </w:rPr>
        <w:t xml:space="preserve">13. </w:t>
      </w:r>
      <w:r>
        <w:rPr>
          <w:sz w:val="18"/>
        </w:rPr>
        <w:t>内閣府. 令和7年度日本経済レポート. 東京: 内閣府政策統括官; 2025.</w:t>
      </w:r>
    </w:p>
    <w:p>
      <w:r>
        <w:rPr>
          <w:b/>
          <w:sz w:val="18"/>
        </w:rPr>
        <w:t xml:space="preserve">14. </w:t>
      </w:r>
      <w:r>
        <w:rPr>
          <w:sz w:val="18"/>
        </w:rPr>
        <w:t>前田由美子. 医療・介護の経済波及効果について. 日医総研ワーキングペーパー No. 172. 2008.</w:t>
      </w:r>
    </w:p>
    <w:p>
      <w:r>
        <w:rPr>
          <w:b/>
          <w:sz w:val="18"/>
        </w:rPr>
        <w:t xml:space="preserve">15. </w:t>
      </w:r>
      <w:r>
        <w:rPr>
          <w:sz w:val="18"/>
        </w:rPr>
        <w:t>Mushkin SJ. Health as an investment. J Polit Econ. 1962;70(5):129-157.</w:t>
      </w:r>
    </w:p>
    <w:p>
      <w:r>
        <w:rPr>
          <w:b/>
          <w:sz w:val="18"/>
        </w:rPr>
        <w:t xml:space="preserve">16. </w:t>
      </w:r>
      <w:r>
        <w:rPr>
          <w:sz w:val="18"/>
        </w:rPr>
        <w:t>Grossman M. On the concept of health capital and the demand for health. J Polit Econ. 1972;80(2):223-255.</w:t>
      </w:r>
    </w:p>
    <w:p>
      <w:r>
        <w:rPr>
          <w:b/>
          <w:sz w:val="18"/>
        </w:rPr>
        <w:t xml:space="preserve">17. </w:t>
      </w:r>
      <w:r>
        <w:rPr>
          <w:sz w:val="18"/>
        </w:rPr>
        <w:t>Bloom DE, Canning D, Sevilla J. The effect of health on economic growth: a production function approach. World Dev. 2004;32(1):1-13.</w:t>
      </w:r>
    </w:p>
    <w:p>
      <w:r>
        <w:rPr>
          <w:b/>
          <w:sz w:val="18"/>
        </w:rPr>
        <w:t xml:space="preserve">18. </w:t>
      </w:r>
      <w:r>
        <w:rPr>
          <w:sz w:val="18"/>
        </w:rPr>
        <w:t>Barro RJ. Health and economic growth. Ann Econ Finance. 2013;14(2):305-342.</w:t>
      </w:r>
    </w:p>
    <w:p>
      <w:r>
        <w:rPr>
          <w:b/>
          <w:sz w:val="18"/>
        </w:rPr>
        <w:t xml:space="preserve">19. </w:t>
      </w:r>
      <w:r>
        <w:rPr>
          <w:sz w:val="18"/>
        </w:rPr>
        <w:t>Goldstein JR, Lutz W, Scherbov S. Long-term population decline in Europe: the relative importance of tempo effects and generational length. Popul Dev Rev. 2003;29(4):699-707.</w:t>
      </w:r>
    </w:p>
    <w:p>
      <w:r>
        <w:rPr>
          <w:b/>
          <w:sz w:val="18"/>
        </w:rPr>
        <w:t xml:space="preserve">20. </w:t>
      </w:r>
      <w:r>
        <w:rPr>
          <w:sz w:val="18"/>
        </w:rPr>
        <w:t>Piabuo SM, Tieguhong JC. Health expenditure and economic growth - a review of the literature and an analysis between the economic community for central African states (CEMAC) and selected African countries. Health Econ Rev. 2017;7(1):23.</w:t>
      </w:r>
    </w:p>
    <w:p>
      <w:r>
        <w:rPr>
          <w:b/>
          <w:sz w:val="18"/>
        </w:rPr>
        <w:t xml:space="preserve">21. </w:t>
      </w:r>
      <w:r>
        <w:rPr>
          <w:sz w:val="18"/>
        </w:rPr>
        <w:t>World Bank. World Development Indicators. Washington, DC: World Bank; 2024. Available from: https://databank.worldbank.org/</w:t>
      </w:r>
    </w:p>
    <w:p>
      <w:r>
        <w:rPr>
          <w:b/>
          <w:sz w:val="18"/>
        </w:rPr>
        <w:t xml:space="preserve">22. </w:t>
      </w:r>
      <w:r>
        <w:rPr>
          <w:sz w:val="18"/>
        </w:rPr>
        <w:t>Preston SH. The changing relation between mortality and level of economic development. Popul Stud. 1975;29(2):231-248.</w:t>
      </w:r>
    </w:p>
    <w:p>
      <w:r>
        <w:rPr>
          <w:b/>
          <w:sz w:val="18"/>
        </w:rPr>
        <w:t xml:space="preserve">23. </w:t>
      </w:r>
      <w:r>
        <w:rPr>
          <w:sz w:val="18"/>
        </w:rPr>
        <w:t>OECD. Health at a Glance 2023: OECD Indicators. Paris: OECD Publishing; 2023. Chapter 5.23: Diagnostic technologies.</w:t>
      </w:r>
    </w:p>
    <w:p>
      <w:r>
        <w:rPr>
          <w:b/>
          <w:sz w:val="18"/>
        </w:rPr>
        <w:t xml:space="preserve">24. </w:t>
      </w:r>
      <w:r>
        <w:rPr>
          <w:sz w:val="18"/>
        </w:rPr>
        <w:t>Ministry of Health, Labour and Welfare. Pharmaceutical and medical device production statistics annual report (薬事工業生産動態統計年報). Tokyo: MHLW; 2021. [In Japanese]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