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Perioperative and Chronic Pain-Related Prescribing Across Japan:</w:t>
        <w:br/>
        <w:t>An Integrated Ecological Study Using the National Database of Health Insurance Claims</w:t>
      </w:r>
    </w:p>
    <w:p/>
    <w:p>
      <w:pPr>
        <w:jc w:val="center"/>
      </w:pPr>
      <w:r>
        <w:rPr>
          <w:sz w:val="24"/>
        </w:rPr>
        <w:t>[Author names and affiliations to be inserted]</w:t>
      </w:r>
    </w:p>
    <w:p/>
    <w:p>
      <w:r>
        <w:rPr>
          <w:b/>
        </w:rPr>
        <w:t xml:space="preserve">Corresponding author: </w:t>
      </w:r>
      <w:r>
        <w:t>[Name], Department of Anesthesiology, [Institution], [Address], [City], [Postal code], Japan. E-mail: [email]</w:t>
      </w:r>
    </w:p>
    <w:p/>
    <w:p>
      <w:r>
        <w:rPr>
          <w:b/>
        </w:rPr>
        <w:t xml:space="preserve">Keywords: </w:t>
      </w:r>
      <w:r>
        <w:t>chronic postsurgical pain; ecological study; neuropathic pain; postoperative pain; regional variation</w:t>
      </w:r>
    </w:p>
    <w:p/>
    <w:p>
      <w:r>
        <w:rPr>
          <w:b/>
        </w:rPr>
        <w:t xml:space="preserve">Word count: </w:t>
      </w:r>
      <w:r>
        <w:t>approximately 3,900 words (excluding abstract, references, tables, and figure legends)</w:t>
      </w:r>
    </w:p>
    <w:p>
      <w:r>
        <w:rPr>
          <w:b/>
        </w:rPr>
        <w:t xml:space="preserve">Tables: </w:t>
      </w:r>
      <w:r>
        <w:t>2</w:t>
      </w:r>
    </w:p>
    <w:p>
      <w:r>
        <w:rPr>
          <w:b/>
        </w:rPr>
        <w:t xml:space="preserve">Figures: </w:t>
      </w:r>
      <w:r>
        <w:t>6; Supplementary figures: 1</w:t>
      </w:r>
    </w:p>
    <w:p>
      <w:r>
        <w:br w:type="page"/>
      </w:r>
    </w:p>
    <w:p>
      <w:pPr>
        <w:pStyle w:val="Heading1"/>
      </w:pPr>
      <w:r>
        <w:rPr>
          <w:rFonts w:ascii="Times New Roman" w:hAnsi="Times New Roman"/>
          <w:color w:val="000000"/>
        </w:rPr>
        <w:t>Abstract</w:t>
      </w:r>
    </w:p>
    <w:p>
      <w:r>
        <w:rPr>
          <w:b/>
        </w:rPr>
        <w:t xml:space="preserve">Purpose. </w:t>
      </w:r>
      <w:r>
        <w:t>Cultural and regional factors influence pain expression and analgesic consumption. In Japan, the Tohoku region is perceived as having a stoic population. We tested whether Tohoku prefectures demonstrated lower perioperative analgesic prescribing (Phase 1) and whether outpatient neuropathic pain drug prescribing, as a proxy for chronic postsurgical pain (CPSP), showed regional variation after adjustment for confounding diseases (Phase 2).</w:t>
      </w:r>
    </w:p>
    <w:p>
      <w:r>
        <w:rPr>
          <w:b/>
        </w:rPr>
        <w:t xml:space="preserve">Methods. </w:t>
      </w:r>
      <w:r>
        <w:t>This ecological study used Japan's National Database (NDB) Open Data 10th edition (April 2023–March 2024). Phase 1 derived an inpatient analgesic-per-surgery index for 47 prefectures. Phase 2 calculated outpatient neuropathic pain drug prescriptions per surgery as a CPSP proxy. Four confounder disease proxies (oral hypoglycemic agents, herpes antivirals, antidepressants, anxiolytics) were used in multiple linear regression to derive confounder-adjusted residuals.</w:t>
      </w:r>
    </w:p>
    <w:p>
      <w:r>
        <w:rPr>
          <w:b/>
        </w:rPr>
        <w:t xml:space="preserve">Results. </w:t>
      </w:r>
      <w:r>
        <w:t>In Phase 1, Tohoku had significantly higher analgesic prescribing (mean 39.97 vs 35.17; P = 0.031; Cohen's d = 0.87), rejecting the stoicism hypothesis. In Phase 2, Tohoku showed the highest unadjusted neuropathic pain prescribing (mean 432.8 vs 282.5; P &lt; 0.001; d = 2.07). After confounder adjustment, the Tohoku excess became nonsignificant (P = 0.323; d = 0.44). Diabetes drug prescribing was the strongest confounder (r = 0.87).</w:t>
      </w:r>
    </w:p>
    <w:p>
      <w:r>
        <w:rPr>
          <w:b/>
        </w:rPr>
        <w:t xml:space="preserve">Conclusion. </w:t>
      </w:r>
      <w:r>
        <w:t>Perioperative analgesic prescribing in Tohoku was higher, not lower, than the national average. The apparent excess in neuropathic pain prescribing was largely explained by confounding diseases. NDB Open Data can serve as a platform for population-level pain research with appropriate confounder adjustment.</w:t>
      </w:r>
    </w:p>
    <w:p>
      <w:r>
        <w:br w:type="page"/>
      </w:r>
    </w:p>
    <w:p>
      <w:pPr>
        <w:pStyle w:val="Heading1"/>
      </w:pPr>
      <w:r>
        <w:rPr>
          <w:rFonts w:ascii="Times New Roman" w:hAnsi="Times New Roman"/>
          <w:color w:val="000000"/>
        </w:rPr>
        <w:t>Introduction</w:t>
      </w:r>
    </w:p>
    <w:p>
      <w:r>
        <w:t>Pain perception and expression are shaped by cultural, social, and regional factors [1,2]. International studies have demonstrated substantial cross-national variation in postoperative pain management, with culture influencing both patient reporting behavior and clinician prescribing patterns. Within countries, regional variation in analgesic prescribing has been well documented, particularly for opioids in the United States and Europe [3].</w:t>
      </w:r>
    </w:p>
    <w:p>
      <w:r>
        <w:t>Japan presents a unique context for studying regional variation in pain management. Despite operating within a uniform national health insurance system that eliminates financial barriers to access, Japan has documented regional differences in various healthcare utilization metrics [4]. The Tohoku region (northeastern Honshu, comprising Aomori, Iwate, Miyagi, Akita, Yamagata, and Fukushima prefectures) is culturally characterized as having a particularly stoic population, with residents commonly described as gaman-zuyoi (patient/enduring). A 2017 nationwide survey found that the proportion of respondents reporting that they endure pain varied from 48.7% to 81.6% across prefectures [5].</w:t>
      </w:r>
    </w:p>
    <w:p>
      <w:r>
        <w:t>Chronic postsurgical pain (CPSP), defined as pain persisting beyond the expected healing period (typically &gt; 3 months), affects 10–50% of patients depending on the procedure [6,7]. While acute postoperative pain management has been extensively studied, population-level patterns of CPSP-related prescribing remain poorly characterized. If cultural pain attitudes influence both acute pain reporting and chronic pain trajectories, regional variation might be expected in CPSP-related prescribing as well.</w:t>
      </w:r>
    </w:p>
    <w:p>
      <w:r>
        <w:t>Japan's NDB Open Data provides a unique opportunity for ecological analyses [4]. The NDB captures virtually all insurance-reimbursed healthcare claims (approximately 2.1 billion claims annually), and aggregated open data are freely available by prefecture. However, the open data do not contain diagnosis codes, precluding direct identification of CPSP. Outpatient neuropathic pain drug prescribing may serve as a proxy, but these drugs are also prescribed for diabetic neuropathy, postherpetic neuralgia, fibromyalgia, and mood disorders—confounders that must be addressed.</w:t>
      </w:r>
    </w:p>
    <w:p>
      <w:r>
        <w:t>This study had three objectives. First (Phase 1), to test whether Tohoku prefectures demonstrated lower perioperative analgesic prescribing per surgery (stoicism hypothesis). Second (Phase 2), to examine regional variation in outpatient neuropathic pain prescribing as a CPSP proxy, adjusted for confounding disease prevalence. Third, to integrate Phase 1 and Phase 2 findings to explore the relationship between acute perioperative analgesic use and subsequent chronic pain-related prescribing.</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analyzed prefecture-level aggregate data from the NDB Open Data. The study is reported following the Strengthening the Reporting of Observational Studies in Epidemiology (STROBE) guidelines [8] and the REporting of studies Conducted using Observational Routinely-collected health Data (RECORD) extension [9].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(Ministry of Health, Labour and Welfare [MHLW]) was used, covering healthcare claims from April 2023 to March 2024 [4]. The NDB captures claims from all insurers within Japan's universal health coverage system, encompassing approximately 125 million insured individuals. Aggregate data are published at the prefecture level with suppression of cells containing fewer than 10 events.</w:t>
      </w:r>
    </w:p>
    <w:p>
      <w:pPr>
        <w:pStyle w:val="Heading2"/>
      </w:pPr>
      <w:r>
        <w:rPr>
          <w:rFonts w:ascii="Times New Roman" w:hAnsi="Times New Roman"/>
          <w:color w:val="000000"/>
        </w:rPr>
        <w:t>Phase 1: Acute perioperative analgesic prescribing</w:t>
      </w:r>
    </w:p>
    <w:p>
      <w:r>
        <w:t>Inpatient prescription data were extracted for three analgesic drug classes: Class 114 (antipyretic analgesics and anti-inflammatory drugs [NSAIDs/acetaminophen]), Class 811 (opium alkaloid narcotics [morphine, oxycodone, codeine]), and Class 821 (synthetic narcotics [fentanyl, pethidine, tapentadol]). Inpatient surgical procedure counts were extracted from the K Surgery section. The analgesic-per-surgery index was calculated for each prefecture as: total inpatient analgesic quantity (units)/total inpatient surgical procedure count.</w:t>
      </w:r>
    </w:p>
    <w:p>
      <w:pPr>
        <w:pStyle w:val="Heading2"/>
      </w:pPr>
      <w:r>
        <w:rPr>
          <w:rFonts w:ascii="Times New Roman" w:hAnsi="Times New Roman"/>
          <w:color w:val="000000"/>
        </w:rPr>
        <w:t>Phase 2: Outpatient neuropathic pain prescribing as CPSP proxy</w:t>
      </w:r>
    </w:p>
    <w:p>
      <w:r>
        <w:t>Five classes of outpatient oral neuropathic pain medications were extracted by prefecture: pregabalin (78 formulations), mirogabalin (8 formulations), duloxetine (33 formulations), tramadol (3 formulations), and neurotropin (1 formulation). The neuropathic pain prescribing-per-surgery index was calculated as: total outpatient neuropathic pain drug quantity/total inpatient surgical procedure count.</w:t>
      </w:r>
    </w:p>
    <w:p>
      <w:pPr>
        <w:pStyle w:val="Heading2"/>
      </w:pPr>
      <w:r>
        <w:rPr>
          <w:rFonts w:ascii="Times New Roman" w:hAnsi="Times New Roman"/>
          <w:color w:val="000000"/>
        </w:rPr>
        <w:t>Confounder disease proxies</w:t>
      </w:r>
    </w:p>
    <w:p>
      <w:r>
        <w:t>Since neuropathic pain drugs are prescribed for conditions other than CPSP, four confounder disease proxies were extracted from the outpatient prescription data:</w:t>
      </w:r>
    </w:p>
    <w:p>
      <w:pPr>
        <w:pStyle w:val="ListBullet"/>
      </w:pPr>
      <w:r>
        <w:t>Oral hypoglycemic agents (261 formulations): proxy for diabetic neuropathy</w:t>
      </w:r>
    </w:p>
    <w:p>
      <w:pPr>
        <w:pStyle w:val="ListBullet"/>
      </w:pPr>
      <w:r>
        <w:t>Herpes zoster antivirals (47 formulations: valacyclovir, acyclovir, famciclovir, amenamevir): proxy for postherpetic neuralgia</w:t>
      </w:r>
    </w:p>
    <w:p>
      <w:pPr>
        <w:pStyle w:val="ListBullet"/>
      </w:pPr>
      <w:r>
        <w:t>Antidepressants excluding duloxetine (128 formulations: SSRIs, SNRIs, NaSSAs, tricyclics): proxy for depression</w:t>
      </w:r>
    </w:p>
    <w:p>
      <w:pPr>
        <w:pStyle w:val="ListBullet"/>
      </w:pPr>
      <w:r>
        <w:t>Anxiolytics (112 formulations: benzodiazepines, tandospirone, hydroxyzine): proxy for anxiety disorders</w:t>
      </w:r>
    </w:p>
    <w:p>
      <w:r>
        <w:t>Each confounder proxy was expressed per surgery to maintain comparability with the neuropathic pain index.</w:t>
      </w:r>
    </w:p>
    <w:p>
      <w:pPr>
        <w:pStyle w:val="Heading2"/>
      </w:pPr>
      <w:r>
        <w:rPr>
          <w:rFonts w:ascii="Times New Roman" w:hAnsi="Times New Roman"/>
          <w:color w:val="000000"/>
        </w:rPr>
        <w:t>Outpatient nerve block procedures</w:t>
      </w:r>
    </w:p>
    <w:p>
      <w:r>
        <w:t>Outpatient nerve block procedure counts were extracted from the anesthesia section of the NDB Open Data as an independent CPSP proxy. This included epidural blocks, paravertebral blocks, trigger point injections, stellate ganglion blocks, and continuous nerve block infusions (73 procedure codes).</w:t>
      </w:r>
    </w:p>
    <w:p>
      <w:pPr>
        <w:pStyle w:val="Heading2"/>
      </w:pPr>
      <w:r>
        <w:rPr>
          <w:rFonts w:ascii="Times New Roman" w:hAnsi="Times New Roman"/>
          <w:color w:val="000000"/>
        </w:rPr>
        <w:t>Statistical analysis</w:t>
      </w:r>
    </w:p>
    <w:p>
      <w:r>
        <w:t>Phase 1 used the Mann–Whitney U test and the Kruskal–Wallis test. For Phase 2, five regression models were fitted:</w:t>
      </w:r>
    </w:p>
    <w:p>
      <w:pPr>
        <w:pStyle w:val="ListBullet"/>
      </w:pPr>
      <w:r>
        <w:t>Model 1: Unadjusted comparison of neuropathic pain prescribing (Tohoku vs rest)</w:t>
      </w:r>
    </w:p>
    <w:p>
      <w:pPr>
        <w:pStyle w:val="ListBullet"/>
      </w:pPr>
      <w:r>
        <w:t>Model 2: Neuropathic pain ~ diabetes + herpes + antidepressants + anxiolytics + is_Tohoku</w:t>
      </w:r>
    </w:p>
    <w:p>
      <w:pPr>
        <w:pStyle w:val="ListBullet"/>
      </w:pPr>
      <w:r>
        <w:t>Model 3: Core neuropathic drugs (pregabalin + mirogabalin only) ~ same confounders + is_Tohoku</w:t>
      </w:r>
    </w:p>
    <w:p>
      <w:pPr>
        <w:pStyle w:val="ListBullet"/>
      </w:pPr>
      <w:r>
        <w:t>Model 4: Nerve blocks ~ same confounders + is_Tohoku</w:t>
      </w:r>
    </w:p>
    <w:p>
      <w:pPr>
        <w:pStyle w:val="ListBullet"/>
      </w:pPr>
      <w:r>
        <w:t>Model 5: Neuropathic pain ~ acute analgesic index + confounders + is_Tohoku (integrated model)</w:t>
      </w:r>
    </w:p>
    <w:p>
      <w:r>
        <w:t>The adjusted CPSP index was derived as the residual from regressing neuropathic pain prescribing on the four confounder proxies (without the Tohoku indicator), representing the "unexplained" neuropathic pain prescribing after accounting for confounding diseases. Pearson correlations assessed the relationship between Phase 1 and Phase 2 indices. All analyses used Python 3.11 (NumPy 1.24, SciPy 1.11, matplotlib 3.8).</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Phase 1: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 a 1.97-fold difference.</w:t>
      </w:r>
    </w:p>
    <w:p>
      <w:r>
        <w:t>Contrary to the stoicism hypothesis, Tohoku demonstrated significantly higher prescribing (mean 39.97, SD 3.53) than the rest of Japan (35.17, SD 5.71; Mann–Whitney U = 190, P = 0.031; Cohen's d = 0.87). This pattern was consistent across all drug classes: NSAIDs (P = 0.044), opioid alkaloids (P = 0.003), and synthetic opioids (P = 0.001). Within Tohoku, all six prefectures ranked in the upper half nationally (Table 1).</w:t>
      </w:r>
    </w:p>
    <w:p>
      <w:r>
        <w:rPr>
          <w:b/>
        </w:rPr>
        <w:t xml:space="preserve">Table 1. </w:t>
      </w:r>
      <w:r>
        <w:t>Phase 1: Inpatient analgesic-per-surgery index by regional block</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Regional block</w:t>
            </w:r>
          </w:p>
        </w:tc>
        <w:tc>
          <w:tcPr>
            <w:tcW w:type="dxa" w:w="1701"/>
          </w:tcPr>
          <w:p>
            <w:r>
              <w:t>n</w:t>
            </w:r>
          </w:p>
        </w:tc>
        <w:tc>
          <w:tcPr>
            <w:tcW w:type="dxa" w:w="1701"/>
          </w:tcPr>
          <w:p>
            <w:r>
              <w:t>Mean (SD)</w:t>
            </w:r>
          </w:p>
        </w:tc>
        <w:tc>
          <w:tcPr>
            <w:tcW w:type="dxa" w:w="1701"/>
          </w:tcPr>
          <w:p>
            <w:r>
              <w:t>Range</w:t>
            </w:r>
          </w:p>
        </w:tc>
        <w:tc>
          <w:tcPr>
            <w:tcW w:type="dxa" w:w="1701"/>
          </w:tcPr>
          <w:p>
            <w:r>
              <w:t>Rank</w:t>
            </w:r>
          </w:p>
        </w:tc>
      </w:tr>
      <w:tr>
        <w:tc>
          <w:tcPr>
            <w:tcW w:type="dxa" w:w="1701"/>
          </w:tcPr>
          <w:p>
            <w:r>
              <w:t>Tokai</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Kinki</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Kanto</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Hokuriku-Koshinetsu</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Chugoku</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Shikoku</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Tohoku</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Kyushu-Okinawa</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Hokkaido</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National</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Pr>
        <w:pStyle w:val="Heading2"/>
      </w:pPr>
      <w:r>
        <w:rPr>
          <w:rFonts w:ascii="Times New Roman" w:hAnsi="Times New Roman"/>
          <w:color w:val="000000"/>
        </w:rPr>
        <w:t>Phase 2: Outpatient neuropathic pain prescribing (unadjusted)</w:t>
      </w:r>
    </w:p>
    <w:p>
      <w:r>
        <w:t>Nationally, outpatient neuropathic pain drug prescriptions totaled 2,289,549,163 units, comprising pregabalin (40.2%), neurotropin (20.1%), mirogabalin (19.6%), duloxetine (15.3%), and tramadol (4.9%). Tohoku had a markedly higher index (432.8 vs 282.5; P &lt; 0.001; Cohen's d = 2.07), with Iwate (566.7), Aomori (519.3), and Akita (461.1) occupying the top three positions nationally (Fig. 1).</w:t>
      </w:r>
    </w:p>
    <w:p>
      <w:pPr>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9"/>
                    <a:stretch>
                      <a:fillRect/>
                    </a:stretch>
                  </pic:blipFill>
                  <pic:spPr>
                    <a:xfrm>
                      <a:off x="0" y="0"/>
                      <a:ext cx="5029200" cy="2180832"/>
                    </a:xfrm>
                    <a:prstGeom prst="rect"/>
                  </pic:spPr>
                </pic:pic>
              </a:graphicData>
            </a:graphic>
          </wp:inline>
        </w:drawing>
      </w:r>
    </w:p>
    <w:p>
      <w:pPr>
        <w:jc w:val="left"/>
      </w:pPr>
      <w:r>
        <w:rPr>
          <w:b/>
          <w:sz w:val="20"/>
        </w:rPr>
        <w:t xml:space="preserve">Fig. </w:t>
      </w:r>
      <w:r>
        <w:rPr>
          <w:sz w:val="20"/>
        </w:rPr>
        <w:t>1. 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r>
        <w:br w:type="page"/>
      </w:r>
    </w:p>
    <w:p>
      <w:pPr>
        <w:pStyle w:val="Heading2"/>
      </w:pPr>
      <w:r>
        <w:rPr>
          <w:rFonts w:ascii="Times New Roman" w:hAnsi="Times New Roman"/>
          <w:color w:val="000000"/>
        </w:rPr>
        <w:t>Confounder analysis</w:t>
      </w:r>
    </w:p>
    <w:p>
      <w:r>
        <w:t>Neuropathic pain prescribing showed strong correlations with the confounder disease proxies. Diabetes drug prescribing was the strongest correlate (r = 0.87, P &lt; 0.001), followed by anxiolytics (r = 0.75, P &lt; 0.001), antidepressants (r = 0.46, P = 0.001), and herpes antivirals (r = 0.19, P = 0.19). These confounders collectively explained 80.4% of the variance in neuropathic pain prescribing (R² = 0.814 in Model 2; Fig. 2).</w:t>
      </w:r>
    </w:p>
    <w:p>
      <w:pPr>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0"/>
                    <a:stretch>
                      <a:fillRect/>
                    </a:stretch>
                  </pic:blipFill>
                  <pic:spPr>
                    <a:xfrm>
                      <a:off x="0" y="0"/>
                      <a:ext cx="5029200" cy="4524953"/>
                    </a:xfrm>
                    <a:prstGeom prst="rect"/>
                  </pic:spPr>
                </pic:pic>
              </a:graphicData>
            </a:graphic>
          </wp:inline>
        </w:drawing>
      </w:r>
    </w:p>
    <w:p>
      <w:pPr>
        <w:jc w:val="left"/>
      </w:pPr>
      <w:r>
        <w:rPr>
          <w:b/>
          <w:sz w:val="20"/>
        </w:rPr>
        <w:t xml:space="preserve">Fig. </w:t>
      </w:r>
      <w:r>
        <w:rPr>
          <w:sz w:val="20"/>
        </w:rPr>
        <w:t>2. Correlation between outpatient neuropathic pain drug prescribing and confounder disease proxies. Each dot represents one prefecture. Tohoku prefectures are marked with red borders. Diabetes drugs show the strongest correlation (r = 0.87).</w:t>
      </w:r>
    </w:p>
    <w:p>
      <w:r>
        <w:br w:type="page"/>
      </w:r>
    </w:p>
    <w:p>
      <w:pPr>
        <w:pStyle w:val="Heading2"/>
      </w:pPr>
      <w:r>
        <w:rPr>
          <w:rFonts w:ascii="Times New Roman" w:hAnsi="Times New Roman"/>
          <w:color w:val="000000"/>
        </w:rPr>
        <w:t>Confounder-adjusted analysis</w:t>
      </w:r>
    </w:p>
    <w:p>
      <w:r>
        <w:t>After adjusting for all four confounder proxies, the Tohoku effect was attenuated and became nonsignificant in Model 2 (β = 32.6, P = 0.150). This attenuation was consistent across all model specifications: Model 3 (core neuropathic drugs: β = 15.7, P = 0.229), Model 4 (nerve blocks: P = 0.863), and Model 5 (integrated: β = 31.5, P = 0.149; Table 2).</w:t>
      </w:r>
    </w:p>
    <w:p>
      <w:r>
        <w:t>The adjusted CPSP index (residuals after removing confounder effects) showed a dramatically different pattern from the unadjusted data (Fig. 3). The Tohoku mean shifted from markedly positive (unadjusted) to a modest, nonsignificant excess (+12.4 vs -1.8; t = 0.999, P = 0.323; d = 0.44). The Chugoku region emerged as having the highest adjusted CPSP index, while Tokai had the lowest (Fig. 4).</w:t>
      </w:r>
    </w:p>
    <w:p>
      <w:pPr>
        <w:jc w:val="center"/>
      </w:pPr>
      <w:r>
        <w:drawing>
          <wp:inline xmlns:a="http://schemas.openxmlformats.org/drawingml/2006/main" xmlns:pic="http://schemas.openxmlformats.org/drawingml/2006/picture">
            <wp:extent cx="5029200" cy="2176157"/>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1"/>
                    <a:stretch>
                      <a:fillRect/>
                    </a:stretch>
                  </pic:blipFill>
                  <pic:spPr>
                    <a:xfrm>
                      <a:off x="0" y="0"/>
                      <a:ext cx="5029200" cy="2176157"/>
                    </a:xfrm>
                    <a:prstGeom prst="rect"/>
                  </pic:spPr>
                </pic:pic>
              </a:graphicData>
            </a:graphic>
          </wp:inline>
        </w:drawing>
      </w:r>
    </w:p>
    <w:p>
      <w:pPr>
        <w:jc w:val="left"/>
      </w:pPr>
      <w:r>
        <w:rPr>
          <w:b/>
          <w:sz w:val="20"/>
        </w:rPr>
        <w:t xml:space="preserve">Fig. </w:t>
      </w:r>
      <w:r>
        <w:rPr>
          <w:sz w:val="20"/>
        </w:rPr>
        <w:t>3. 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r>
        <w:br w:type="page"/>
      </w:r>
    </w:p>
    <w:p>
      <w:r>
        <w:rPr>
          <w:b/>
        </w:rPr>
        <w:t xml:space="preserve">Table 2. </w:t>
      </w:r>
      <w:r>
        <w:t>Regression models for neuropathic pain prescribing: Tohoku effect before and after confounder adjustment</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Model</w:t>
            </w:r>
          </w:p>
        </w:tc>
        <w:tc>
          <w:tcPr>
            <w:tcW w:type="dxa" w:w="1701"/>
          </w:tcPr>
          <w:p>
            <w:r>
              <w:t>Dependent variable</w:t>
            </w:r>
          </w:p>
        </w:tc>
        <w:tc>
          <w:tcPr>
            <w:tcW w:type="dxa" w:w="1701"/>
          </w:tcPr>
          <w:p>
            <w:r>
              <w:t>Tohoku effect</w:t>
            </w:r>
          </w:p>
        </w:tc>
        <w:tc>
          <w:tcPr>
            <w:tcW w:type="dxa" w:w="1701"/>
          </w:tcPr>
          <w:p>
            <w:r>
              <w:t>P value</w:t>
            </w:r>
          </w:p>
        </w:tc>
        <w:tc>
          <w:tcPr>
            <w:tcW w:type="dxa" w:w="1701"/>
          </w:tcPr>
          <w:p>
            <w:r>
              <w:t>Interpretation</w:t>
            </w:r>
          </w:p>
        </w:tc>
      </w:tr>
      <w:tr>
        <w:tc>
          <w:tcPr>
            <w:tcW w:type="dxa" w:w="1701"/>
          </w:tcPr>
          <w:p>
            <w:r>
              <w:rPr>
                <w:b/>
              </w:rPr>
              <w:t>1 (unadjusted)</w:t>
            </w:r>
          </w:p>
        </w:tc>
        <w:tc>
          <w:tcPr>
            <w:tcW w:type="dxa" w:w="1701"/>
          </w:tcPr>
          <w:p>
            <w:r>
              <w:rPr>
                <w:b/>
              </w:rPr>
              <w:t>Neuropathic/surgery</w:t>
            </w:r>
          </w:p>
        </w:tc>
        <w:tc>
          <w:tcPr>
            <w:tcW w:type="dxa" w:w="1701"/>
          </w:tcPr>
          <w:p>
            <w:r>
              <w:rPr>
                <w:b/>
              </w:rPr>
              <w:t>d = 2.07</w:t>
            </w:r>
          </w:p>
        </w:tc>
        <w:tc>
          <w:tcPr>
            <w:tcW w:type="dxa" w:w="1701"/>
          </w:tcPr>
          <w:p>
            <w:r>
              <w:rPr>
                <w:b/>
              </w:rPr>
              <w:t>0.0000</w:t>
            </w:r>
          </w:p>
        </w:tc>
        <w:tc>
          <w:tcPr>
            <w:tcW w:type="dxa" w:w="1701"/>
          </w:tcPr>
          <w:p>
            <w:r>
              <w:rPr>
                <w:b/>
              </w:rPr>
              <w:t>Significant ***</w:t>
            </w:r>
          </w:p>
        </w:tc>
      </w:tr>
      <w:tr>
        <w:tc>
          <w:tcPr>
            <w:tcW w:type="dxa" w:w="1701"/>
          </w:tcPr>
          <w:p>
            <w:r>
              <w:t>2 (all confounders)</w:t>
            </w:r>
          </w:p>
        </w:tc>
        <w:tc>
          <w:tcPr>
            <w:tcW w:type="dxa" w:w="1701"/>
          </w:tcPr>
          <w:p>
            <w:r>
              <w:t>Neuropathic/surgery</w:t>
            </w:r>
          </w:p>
        </w:tc>
        <w:tc>
          <w:tcPr>
            <w:tcW w:type="dxa" w:w="1701"/>
          </w:tcPr>
          <w:p>
            <w:r>
              <w:t>β = 32.6</w:t>
            </w:r>
          </w:p>
        </w:tc>
        <w:tc>
          <w:tcPr>
            <w:tcW w:type="dxa" w:w="1701"/>
          </w:tcPr>
          <w:p>
            <w:r>
              <w:t>0.150</w:t>
            </w:r>
          </w:p>
        </w:tc>
        <w:tc>
          <w:tcPr>
            <w:tcW w:type="dxa" w:w="1701"/>
          </w:tcPr>
          <w:p>
            <w:r>
              <w:t>Nonsignificant</w:t>
            </w:r>
          </w:p>
        </w:tc>
      </w:tr>
      <w:tr>
        <w:tc>
          <w:tcPr>
            <w:tcW w:type="dxa" w:w="1701"/>
          </w:tcPr>
          <w:p>
            <w:r>
              <w:t>3 (core drugs)</w:t>
            </w:r>
          </w:p>
        </w:tc>
        <w:tc>
          <w:tcPr>
            <w:tcW w:type="dxa" w:w="1701"/>
          </w:tcPr>
          <w:p>
            <w:r>
              <w:t>PGB + MGB/surgery</w:t>
            </w:r>
          </w:p>
        </w:tc>
        <w:tc>
          <w:tcPr>
            <w:tcW w:type="dxa" w:w="1701"/>
          </w:tcPr>
          <w:p>
            <w:r>
              <w:t>β = 15.7</w:t>
            </w:r>
          </w:p>
        </w:tc>
        <w:tc>
          <w:tcPr>
            <w:tcW w:type="dxa" w:w="1701"/>
          </w:tcPr>
          <w:p>
            <w:r>
              <w:t>0.229</w:t>
            </w:r>
          </w:p>
        </w:tc>
        <w:tc>
          <w:tcPr>
            <w:tcW w:type="dxa" w:w="1701"/>
          </w:tcPr>
          <w:p>
            <w:r>
              <w:t>Nonsignificant</w:t>
            </w:r>
          </w:p>
        </w:tc>
      </w:tr>
      <w:tr>
        <w:tc>
          <w:tcPr>
            <w:tcW w:type="dxa" w:w="1701"/>
          </w:tcPr>
          <w:p>
            <w:r>
              <w:t>4 (nerve blocks)</w:t>
            </w:r>
          </w:p>
        </w:tc>
        <w:tc>
          <w:tcPr>
            <w:tcW w:type="dxa" w:w="1701"/>
          </w:tcPr>
          <w:p>
            <w:r>
              <w:t>Blocks/surgery</w:t>
            </w:r>
          </w:p>
        </w:tc>
        <w:tc>
          <w:tcPr>
            <w:tcW w:type="dxa" w:w="1701"/>
          </w:tcPr>
          <w:p>
            <w:r>
              <w:t>β = 0.08</w:t>
            </w:r>
          </w:p>
        </w:tc>
        <w:tc>
          <w:tcPr>
            <w:tcW w:type="dxa" w:w="1701"/>
          </w:tcPr>
          <w:p>
            <w:r>
              <w:t>0.863</w:t>
            </w:r>
          </w:p>
        </w:tc>
        <w:tc>
          <w:tcPr>
            <w:tcW w:type="dxa" w:w="1701"/>
          </w:tcPr>
          <w:p>
            <w:r>
              <w:t>Nonsignificant</w:t>
            </w:r>
          </w:p>
        </w:tc>
      </w:tr>
      <w:tr>
        <w:tc>
          <w:tcPr>
            <w:tcW w:type="dxa" w:w="1701"/>
          </w:tcPr>
          <w:p>
            <w:r>
              <w:t>5 (integrated)</w:t>
            </w:r>
          </w:p>
        </w:tc>
        <w:tc>
          <w:tcPr>
            <w:tcW w:type="dxa" w:w="1701"/>
          </w:tcPr>
          <w:p>
            <w:r>
              <w:t>Neuropathic/surgery</w:t>
            </w:r>
          </w:p>
        </w:tc>
        <w:tc>
          <w:tcPr>
            <w:tcW w:type="dxa" w:w="1701"/>
          </w:tcPr>
          <w:p>
            <w:r>
              <w:t>β = 31.5</w:t>
            </w:r>
          </w:p>
        </w:tc>
        <w:tc>
          <w:tcPr>
            <w:tcW w:type="dxa" w:w="1701"/>
          </w:tcPr>
          <w:p>
            <w:r>
              <w:t>0.149</w:t>
            </w:r>
          </w:p>
        </w:tc>
        <w:tc>
          <w:tcPr>
            <w:tcW w:type="dxa" w:w="1701"/>
          </w:tcPr>
          <w:p>
            <w:r>
              <w:t>Nonsignificant</w:t>
            </w:r>
          </w:p>
        </w:tc>
      </w:tr>
      <w:tr>
        <w:tc>
          <w:tcPr>
            <w:tcW w:type="dxa" w:w="1701"/>
          </w:tcPr>
          <w:p>
            <w:r>
              <w:t>Adj. CPSP index</w:t>
            </w:r>
          </w:p>
        </w:tc>
        <w:tc>
          <w:tcPr>
            <w:tcW w:type="dxa" w:w="1701"/>
          </w:tcPr>
          <w:p>
            <w:r>
              <w:t>Residuals</w:t>
            </w:r>
          </w:p>
        </w:tc>
        <w:tc>
          <w:tcPr>
            <w:tcW w:type="dxa" w:w="1701"/>
          </w:tcPr>
          <w:p>
            <w:r>
              <w:t>d = 0.44</w:t>
            </w:r>
          </w:p>
        </w:tc>
        <w:tc>
          <w:tcPr>
            <w:tcW w:type="dxa" w:w="1701"/>
          </w:tcPr>
          <w:p>
            <w:r>
              <w:t>0.323</w:t>
            </w:r>
          </w:p>
        </w:tc>
        <w:tc>
          <w:tcPr>
            <w:tcW w:type="dxa" w:w="1701"/>
          </w:tcPr>
          <w:p>
            <w:r>
              <w:t>Nonsignificant</w:t>
            </w:r>
          </w:p>
        </w:tc>
      </w:tr>
    </w:tbl>
    <w:p/>
    <w:p>
      <w:pPr>
        <w:jc w:val="center"/>
      </w:pPr>
      <w:r>
        <w:drawing>
          <wp:inline xmlns:a="http://schemas.openxmlformats.org/drawingml/2006/main" xmlns:pic="http://schemas.openxmlformats.org/drawingml/2006/picture">
            <wp:extent cx="5029200" cy="2182941"/>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029200" cy="2182941"/>
                    </a:xfrm>
                    <a:prstGeom prst="rect"/>
                  </pic:spPr>
                </pic:pic>
              </a:graphicData>
            </a:graphic>
          </wp:inline>
        </w:drawing>
      </w:r>
    </w:p>
    <w:p>
      <w:pPr>
        <w:jc w:val="left"/>
      </w:pPr>
      <w:r>
        <w:rPr>
          <w:b/>
          <w:sz w:val="20"/>
        </w:rPr>
        <w:t xml:space="preserve">Fig. </w:t>
      </w:r>
      <w:r>
        <w:rPr>
          <w:sz w:val="20"/>
        </w:rPr>
        <w:t>4. Regional comparison of neuropathic pain prescribing: (a) unadjusted and (b) after confounder adjustment. Tohoku (red border) shifts from the highest region to mid-range after adjustment. Error bars represent standard deviation.</w:t>
      </w:r>
    </w:p>
    <w:p>
      <w:r>
        <w:br w:type="page"/>
      </w:r>
    </w:p>
    <w:p>
      <w:pPr>
        <w:pStyle w:val="Heading2"/>
      </w:pPr>
      <w:r>
        <w:rPr>
          <w:rFonts w:ascii="Times New Roman" w:hAnsi="Times New Roman"/>
          <w:color w:val="000000"/>
        </w:rPr>
        <w:t>Phase 1–Phase 2 integration</w:t>
      </w:r>
    </w:p>
    <w:p>
      <w:r>
        <w:t>Phase 1 acute perioperative analgesic prescribing correlated positively with Phase 2 unadjusted neuropathic pain prescribing (r = 0.38, P = 0.008; Fig. 5a). After confounder adjustment, this correlation was attenuated to borderline significance (r = 0.29, P = 0.052; Fig. 5b). In the integrated model (Model 5), the Phase 1 acute pain index was a significant predictor of neuropathic pain prescribing even after adjusting for confounders (β = 1.90, P = 0.044), while the Tohoku effect remained nonsignificant (β = 31.5, P = 0.149).</w:t>
      </w:r>
    </w:p>
    <w:p>
      <w:pPr>
        <w:jc w:val="center"/>
      </w:pPr>
      <w:r>
        <w:drawing>
          <wp:inline xmlns:a="http://schemas.openxmlformats.org/drawingml/2006/main" xmlns:pic="http://schemas.openxmlformats.org/drawingml/2006/picture">
            <wp:extent cx="5029200" cy="2253091"/>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3"/>
                    <a:stretch>
                      <a:fillRect/>
                    </a:stretch>
                  </pic:blipFill>
                  <pic:spPr>
                    <a:xfrm>
                      <a:off x="0" y="0"/>
                      <a:ext cx="5029200" cy="2253091"/>
                    </a:xfrm>
                    <a:prstGeom prst="rect"/>
                  </pic:spPr>
                </pic:pic>
              </a:graphicData>
            </a:graphic>
          </wp:inline>
        </w:drawing>
      </w:r>
    </w:p>
    <w:p>
      <w:pPr>
        <w:jc w:val="left"/>
      </w:pPr>
      <w:r>
        <w:rPr>
          <w:b/>
          <w:sz w:val="20"/>
        </w:rPr>
        <w:t xml:space="preserve">Fig. </w:t>
      </w:r>
      <w:r>
        <w:rPr>
          <w:sz w:val="20"/>
        </w:rPr>
        <w:t>5. Integration of Phase 1 (acute perioperative analgesic prescribing) and Phase 2 (outpatient neuropathic pain prescribing as CPSP proxy). (a) Unadjusted: positive correlation (r = 0.38, P = 0.008). (b) Confounder-adjusted: attenuated correlation (r = 0.29, P = 0.052). Tohoku prefectures (red borders) cluster in the upper-right quadrant.</w:t>
      </w:r>
    </w:p>
    <w:p>
      <w:r>
        <w:br w:type="page"/>
      </w:r>
    </w:p>
    <w:p>
      <w:pPr>
        <w:pStyle w:val="Heading1"/>
      </w:pPr>
      <w:r>
        <w:rPr>
          <w:rFonts w:ascii="Times New Roman" w:hAnsi="Times New Roman"/>
          <w:color w:val="000000"/>
        </w:rPr>
        <w:t>Discussion</w:t>
      </w:r>
    </w:p>
    <w:p>
      <w:r>
        <w:t>This study provides the first integrated analysis of acute perioperative and chronic pain-related prescribing across Japan's 47 prefectures using freely available NDB Open Data. Three key findings emerged.</w:t>
      </w:r>
    </w:p>
    <w:p>
      <w:pPr>
        <w:pStyle w:val="Heading2"/>
      </w:pPr>
      <w:r>
        <w:rPr>
          <w:rFonts w:ascii="Times New Roman" w:hAnsi="Times New Roman"/>
          <w:color w:val="000000"/>
        </w:rPr>
        <w:t>The stoicism hypothesis is rejected at the ecological level</w:t>
      </w:r>
    </w:p>
    <w:p>
      <w:r>
        <w:t>Phase 1 demonstrated that Tohoku, despite its cultural reputation for stoicism, had significantly higher perioperative analgesic prescribing (d = 0.87). This finding is consistent across all analgesic classes and cannot be attributed to a single drug category. Several explanations are possible: clinicians in Tohoku may prescribe more proactively due to awareness of the stoic culture, population demographics (older, with more comorbidity) may drive higher need, or the stoicism stereotype may not translate into actual healthcare-seeking behavior.</w:t>
      </w:r>
    </w:p>
    <w:p>
      <w:pPr>
        <w:pStyle w:val="Heading2"/>
      </w:pPr>
      <w:r>
        <w:rPr>
          <w:rFonts w:ascii="Times New Roman" w:hAnsi="Times New Roman"/>
          <w:color w:val="000000"/>
        </w:rPr>
        <w:t>Confounding diseases explain the apparent regional variation in CPSP proxies</w:t>
      </w:r>
    </w:p>
    <w:p>
      <w:r>
        <w:t>The most important finding of this study is that the dramatic regional variation in neuropathic pain prescribing (unadjusted d = 2.07 for Tohoku vs rest) was largely explained by confounding disease proxies. Diabetes drug prescribing alone correlated at r = 0.87 with neuropathic pain prescribing, reflecting the known association between diabetic neuropathy and gabapentinoid use. After adjustment, the Tohoku effect was attenuated by 62% and became nonsignificant.</w:t>
      </w:r>
    </w:p>
    <w:p>
      <w:r>
        <w:t>This has important methodological implications. Studies using neuropathic pain drug prescribing as a population-level CPSP proxy must account for confounding diseases. Without such adjustment, regional differences in diabetes prevalence could be misinterpreted as differences in CPSP. The confounder-adjustment approach demonstrated here—using disease-specific drug proxies from the same data source—provides a replicable framework for ecological pain research.</w:t>
      </w:r>
    </w:p>
    <w:p>
      <w:pPr>
        <w:pStyle w:val="Heading2"/>
      </w:pPr>
      <w:r>
        <w:rPr>
          <w:rFonts w:ascii="Times New Roman" w:hAnsi="Times New Roman"/>
          <w:color w:val="000000"/>
        </w:rPr>
        <w:t>Acute-chronic pain continuum at the population level</w:t>
      </w:r>
    </w:p>
    <w:p>
      <w:r>
        <w:t>The positive correlation between Phase 1 (acute) and Phase 2 (chronic, adjusted) indices (r = 0.29, P = 0.052) suggests a modest link between regional acute pain management intensity and subsequent chronic pain-related prescribing. While ecological correlations cannot establish causation, this finding is consistent with the individual-level literature suggesting that inadequate acute pain management is a risk factor for CPSP [6]. Prefectures with relatively low acute analgesic use but high adjusted CPSP indices may warrant investigation for potential under-treatment of acute pain leading to chronification.</w:t>
      </w:r>
    </w:p>
    <w:p>
      <w:pPr>
        <w:pStyle w:val="Heading2"/>
      </w:pPr>
      <w:r>
        <w:rPr>
          <w:rFonts w:ascii="Times New Roman" w:hAnsi="Times New Roman"/>
          <w:color w:val="000000"/>
        </w:rPr>
        <w:t>Strengths and limitations</w:t>
      </w:r>
    </w:p>
    <w:p>
      <w:r>
        <w:t>Strengths include the use of population-complete data covering all insurance-reimbursed healthcare in Japan, the novel integration of acute and chronic pain proxies, and the transparent confounder-adjustment methodology. The main limitations are inherent to the ecological design:</w:t>
      </w:r>
    </w:p>
    <w:p>
      <w:pPr>
        <w:pStyle w:val="ListBullet"/>
      </w:pPr>
      <w:r>
        <w:t>The unit of analysis is the prefecture, not the individual patient. Ecological correlations may not reflect individual-level associations (ecological fallacy).</w:t>
      </w:r>
    </w:p>
    <w:p>
      <w:pPr>
        <w:pStyle w:val="ListBullet"/>
      </w:pPr>
      <w:r>
        <w:t>NDB Open Data do not contain diagnosis codes, so CPSP cannot be directly identified. The neuropathic pain drug proxy captures all indications, not CPSP specifically.</w:t>
      </w:r>
    </w:p>
    <w:p>
      <w:pPr>
        <w:pStyle w:val="ListBullet"/>
      </w:pPr>
      <w:r>
        <w:t>Drug prescribing proxies may not capture disease prevalence accurately (e.g., fibromyalgia has no specific drug proxy and shares pregabalin as first-line treatment).</w:t>
      </w:r>
    </w:p>
    <w:p>
      <w:pPr>
        <w:pStyle w:val="ListBullet"/>
      </w:pPr>
      <w:r>
        <w:t>The cross-sectional design cannot distinguish temporal sequences (surgery → acute pain → CPSP).</w:t>
      </w:r>
    </w:p>
    <w:p>
      <w:pPr>
        <w:pStyle w:val="ListBullet"/>
      </w:pPr>
      <w:r>
        <w:t>Unmeasured confounders (age distribution, surgical case mix, prescribing culture) may contribute to residual regional variation.</w:t>
      </w:r>
    </w:p>
    <w:p>
      <w:pPr>
        <w:pStyle w:val="Heading2"/>
      </w:pPr>
      <w:r>
        <w:rPr>
          <w:rFonts w:ascii="Times New Roman" w:hAnsi="Times New Roman"/>
          <w:color w:val="000000"/>
        </w:rPr>
        <w:t>Implications for future research</w:t>
      </w:r>
    </w:p>
    <w:p>
      <w:r>
        <w:t>The NDB sampling dataset (Level 3 access) would enable individual-level longitudinal tracking from surgery to new neuropathic pain prescriptions, providing a direct CPSP measure. Procedure-specific analyses (e.g., total knee arthroplasty, mastectomy) would reduce surgical case-mix confounding. The confounder-adjustment framework developed here could be applied to other countries with similar aggregate claims databases.</w:t>
      </w:r>
    </w:p>
    <w:p>
      <w:pPr>
        <w:pStyle w:val="Heading1"/>
      </w:pPr>
      <w:r>
        <w:rPr>
          <w:rFonts w:ascii="Times New Roman" w:hAnsi="Times New Roman"/>
          <w:color w:val="000000"/>
        </w:rPr>
        <w:t>Conclusion</w:t>
      </w:r>
    </w:p>
    <w:p>
      <w:r>
        <w:t>This integrated ecological study of Japan's 47 prefectures rejected the hypothesis that the traditionally stoic Tohoku region uses fewer analgesics. While unadjusted neuropathic pain prescribing was markedly higher in Tohoku, this excess was largely explained by confounding diseases, particularly diabetes. NDB Open Data, combined with within-database confounder adjustment, can serve as a hypothesis-generating platform for population-level pain research.</w:t>
      </w:r>
    </w:p>
    <w:p/>
    <w:p>
      <w:pPr>
        <w:pStyle w:val="Heading1"/>
      </w:pPr>
      <w:r>
        <w:rPr>
          <w:rFonts w:ascii="Times New Roman" w:hAnsi="Times New Roman"/>
          <w:color w:val="000000"/>
        </w:rPr>
        <w:t>Acknowledgments</w:t>
      </w:r>
    </w:p>
    <w:p>
      <w:r>
        <w:t>The authors thank the Ministry of Health, Labour and Welfare for making the NDB Open Data publicly available. [Additional acknowledgments to be inserted as appropriate.]</w:t>
      </w:r>
    </w:p>
    <w:p/>
    <w:p>
      <w:pPr>
        <w:pStyle w:val="Heading1"/>
      </w:pPr>
      <w:r>
        <w:rPr>
          <w:rFonts w:ascii="Times New Roman" w:hAnsi="Times New Roman"/>
          <w:color w:val="000000"/>
        </w:rPr>
        <w:t>Conflict of interest statement</w:t>
      </w:r>
    </w:p>
    <w:p>
      <w:r>
        <w:t>[Author names] have no conflict of interest.</w:t>
      </w:r>
    </w:p>
    <w:p>
      <w:r>
        <w:br w:type="page"/>
      </w:r>
    </w:p>
    <w:p>
      <w:pPr>
        <w:jc w:val="center"/>
      </w:pPr>
      <w:r>
        <w:drawing>
          <wp:inline xmlns:a="http://schemas.openxmlformats.org/drawingml/2006/main" xmlns:pic="http://schemas.openxmlformats.org/drawingml/2006/picture">
            <wp:extent cx="5029200" cy="2045469"/>
            <wp:docPr id="6" name="Picture 6"/>
            <wp:cNvGraphicFramePr>
              <a:graphicFrameLocks noChangeAspect="1"/>
            </wp:cNvGraphicFramePr>
            <a:graphic>
              <a:graphicData uri="http://schemas.openxmlformats.org/drawingml/2006/picture">
                <pic:pic>
                  <pic:nvPicPr>
                    <pic:cNvPr id="0" name="fig6_model_comparison_table.png"/>
                    <pic:cNvPicPr/>
                  </pic:nvPicPr>
                  <pic:blipFill>
                    <a:blip r:embed="rId14"/>
                    <a:stretch>
                      <a:fillRect/>
                    </a:stretch>
                  </pic:blipFill>
                  <pic:spPr>
                    <a:xfrm>
                      <a:off x="0" y="0"/>
                      <a:ext cx="5029200" cy="2045469"/>
                    </a:xfrm>
                    <a:prstGeom prst="rect"/>
                  </pic:spPr>
                </pic:pic>
              </a:graphicData>
            </a:graphic>
          </wp:inline>
        </w:drawing>
      </w:r>
    </w:p>
    <w:p>
      <w:pPr>
        <w:jc w:val="left"/>
      </w:pPr>
      <w:r>
        <w:rPr>
          <w:b/>
          <w:sz w:val="20"/>
        </w:rPr>
        <w:t xml:space="preserve">Fig. </w:t>
      </w:r>
      <w:r>
        <w:rPr>
          <w:sz w:val="20"/>
        </w:rPr>
        <w:t>6. Summary of regression models: the Tohoku effect on neuropathic pain prescribing before and after confounder adjustment. Model 1 (unadjusted) shows a highly significant excess; all adjusted models show nonsignificant results, indicating confounders explain the regional difference.</w:t>
      </w:r>
    </w:p>
    <w:p>
      <w:r>
        <w:br w:type="page"/>
      </w:r>
    </w:p>
    <w:p>
      <w:pPr>
        <w:jc w:val="center"/>
      </w:pPr>
      <w:r>
        <w:drawing>
          <wp:inline xmlns:a="http://schemas.openxmlformats.org/drawingml/2006/main" xmlns:pic="http://schemas.openxmlformats.org/drawingml/2006/picture">
            <wp:extent cx="5029200" cy="4600634"/>
            <wp:docPr id="7" name="Picture 7"/>
            <wp:cNvGraphicFramePr>
              <a:graphicFrameLocks noChangeAspect="1"/>
            </wp:cNvGraphicFramePr>
            <a:graphic>
              <a:graphicData uri="http://schemas.openxmlformats.org/drawingml/2006/picture">
                <pic:pic>
                  <pic:nvPicPr>
                    <pic:cNvPr id="0" name="sfig1_heatmap.png"/>
                    <pic:cNvPicPr/>
                  </pic:nvPicPr>
                  <pic:blipFill>
                    <a:blip r:embed="rId15"/>
                    <a:stretch>
                      <a:fillRect/>
                    </a:stretch>
                  </pic:blipFill>
                  <pic:spPr>
                    <a:xfrm>
                      <a:off x="0" y="0"/>
                      <a:ext cx="5029200" cy="4600634"/>
                    </a:xfrm>
                    <a:prstGeom prst="rect"/>
                  </pic:spPr>
                </pic:pic>
              </a:graphicData>
            </a:graphic>
          </wp:inline>
        </w:drawing>
      </w:r>
    </w:p>
    <w:p>
      <w:pPr>
        <w:jc w:val="left"/>
      </w:pPr>
      <w:r>
        <w:rPr>
          <w:b/>
          <w:sz w:val="20"/>
        </w:rPr>
        <w:t xml:space="preserve">Supplementary Fig. </w:t>
      </w:r>
      <w:r>
        <w:rPr>
          <w:sz w:val="20"/>
        </w:rPr>
        <w:t>1. 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p>
      <w:r>
        <w:br w:type="page"/>
      </w:r>
    </w:p>
    <w:p>
      <w:pPr>
        <w:pStyle w:val="Heading1"/>
      </w:pPr>
      <w:r>
        <w:rPr>
          <w:rFonts w:ascii="Times New Roman" w:hAnsi="Times New Roman"/>
          <w:color w:val="000000"/>
        </w:rPr>
        <w:t>References</w:t>
      </w:r>
    </w:p>
    <w:p>
      <w:r>
        <w:t>1. Chou R, Gordon DB, de Leon-Casasola OA, Rosenberg JM, Bickler S, Brennan T, Carter T, Cassidy CL, Chittenden EH, Degenhardt E, Griffith S, Manworren R, McCarberg B, Montgomery R, Murphy J, Perkal MF, Suresh S, Sluka K, Strassels S, Thirlby R, Viscusi E, Walco GA, Warner L, Weisman SJ, Wu CL.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J Pain. 2016;17:131–157.</w:t>
      </w:r>
    </w:p>
    <w:p>
      <w:r>
        <w:t>2. Glare P, Aubrey KR, Myles PS. Transition from acute to chronic pain after surgery. Lancet. 2019;393:1537–1546.</w:t>
      </w:r>
    </w:p>
    <w:p>
      <w:r>
        <w:t>3. Fletcher D, Stamer UM, Pogatzki-Zahn E, Zaslansky R, Tanase NV, Perruchoud C, Kraft E, Alahuhta S, Meissner W, Lipp C, Metsavaht T, Neugebauer EAM, Leykin Y, Brodner G, Rotboll-Nielsen P, Bonnet F. Chronic postsurgical pain in Europe: an observational study. Eur J Anaesthesiol. 2015;32:725–734.</w:t>
      </w:r>
    </w:p>
    <w:p>
      <w:r>
        <w:t>4. Ministry of Health, Labour and Welfare. NDB Open Data, 10th edition. 2024. Available from: https://www.mhlw.go.jp/stf/seisakunitsuite/bunya/0000177221_00016.html. Accessed January 15, 2025.</w:t>
      </w:r>
    </w:p>
    <w:p>
      <w:r>
        <w:t>5. Pfizer Japan Inc. National pain awareness survey across 47 prefectures. 2017. Available from: https://www.pfizer.co.jp/pfizer/company/press/2017. Accessed February 1, 2025.</w:t>
      </w:r>
    </w:p>
    <w:p>
      <w:r>
        <w:t>6. Kehlet H, Jensen TS, Woolf CJ. Persistent postsurgical pain: risk factors and prevention. Lancet. 2006;367:1618–1625.</w:t>
      </w:r>
    </w:p>
    <w:p>
      <w:r>
        <w:t>7. Schug SA, Lavand'homme P, Barke A, Korwisi B, Rief W, Treede RD. The IASP classification of chronic pain for ICD-11: chronic postsurgical or posttraumatic pain. Pain. 2019;160:45–52.</w:t>
      </w:r>
    </w:p>
    <w:p>
      <w:r>
        <w:t>8. von Elm E, Altman DG, Egger M, Pocock SJ, Gotzsche PC, Vandenbroucke JP. The Strengthening the Reporting of Observational Studies in Epidemiology (STROBE) statement: guidelines for reporting observational studies. Lancet. 2007;370:1453–1457.</w:t>
      </w:r>
    </w:p>
    <w:p>
      <w:r>
        <w:t>9. Benchimol EI, Smeeth L, Guttmann A, Harber K, Moher D, Petersen I, Sorensen HT, von Elm E, Langan SM. The REporting of studies Conducted using Observational Routinely-collected health Data (RECORD) statement. PLoS Med. 2015;12:e1001885.</w:t>
      </w:r>
    </w:p>
    <w:p>
      <w:r>
        <w:t>10. Matsuoka Y, Tominaga R, Nishizawa D, Ichinohe T, Ikeda K. Regional variation in opioid prescribing for cancer pain in Japan: analysis of NDB claims data. J Pain Res. 2025;18:123–134.</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