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p>
      <w:r>
        <w:t>Editor-in-Chief</w:t>
      </w:r>
    </w:p>
    <w:p>
      <w:r>
        <w:t>Pain</w:t>
      </w:r>
    </w:p>
    <w:p>
      <w:r>
        <w:t>International Association for the Study of Pain (IASP)</w:t>
      </w:r>
    </w:p>
    <w:p/>
    <w:p>
      <w:r>
        <w:rPr>
          <w:b/>
        </w:rPr>
        <w:t>Re: Submission of Original Article — ““Japanese Patient”? — A Patient. Regional Heterogeneity in Pain-Related Prescribing Across Japan’s 47 Prefectures Challenges the Stereotype of a Stoic Monolith”</w:t>
      </w:r>
    </w:p>
    <w:p/>
    <w:p>
      <w:r>
        <w:t>Dear Editor,</w:t>
      </w:r>
    </w:p>
    <w:p/>
    <w:p>
      <w:r>
        <w:t>We are pleased to submit the above-titled manuscript for consideration as an Original Article in Pain. We believe this work speaks directly to a principle at the heart of the revised IASP definition of pain (Raja et al., Pain, 2020): that pain is always a personal experience, and that verbal report is only one of several behaviors by which it may be expressed. Our study provides population-level evidence that challenges the monolithic characterization of an entire nation’s pain behavior—and, by extension, any cultural stereotype applied to clinical pain assessment.</w:t>
      </w:r>
    </w:p>
    <w:p>
      <w:r>
        <w:t>Using Japan’s National Database (NDB) Open Data—population-complete insurance claims covering approximately 125 million insured individuals—we mapped pain-related prescribing across all 47 prefectures and nine regional blocks. We found 1.97-fold variation in the inpatient analgesic-per-surgery index, despite Japan’s uniform national health insurance system and standardized drug pricing. The Tohoku region, traditionally perceived as the most stoic part of Japan, actually prescribed more, not fewer, analgesics than the national average (P = 0.031; Cohen’s d = 0.87)—a finding that directly contradicts the popular stereotype. After adjustment for confounding diseases (diabetic neuropathy, postherpetic neuralgia, depression, anxiety), Tohoku’s apparent excess in neuropathic pain prescribing became nonsignificant, with diabetes drug prescribing identified as the strongest confounder (r = 0.87).</w:t>
      </w:r>
    </w:p>
    <w:p>
      <w:r>
        <w:t>We wish to draw the Editor’s attention to the broader clinical message of this work. If nearly twofold variation in pain-related prescribing exists within a country internationally stereotyped as uniformly stoic, then the assumption that national-level cultural labels predict individual pain behavior is untenable. This is not merely an academic observation: when cultural stereotypes narrow the range of treatment options that clinicians consider for a patient, clinical harm may result. This principle applies not only to Japanese patients treated abroad, but to any patient whose pain assessment is filtered through a cultural label rather than individualized evaluation. We believe this universal message aligns with Pain’s mission to advance pain research and improve the care of people in pain worldwide.</w:t>
      </w:r>
    </w:p>
    <w:p>
      <w:r>
        <w:t>The perioperative setting of our Phase 1 analysis offers a methodological advantage over community-based pain surveys: because all surgical patients are hospitalized, healthcare access—a major confounding factor in outpatient studies—is effectively neutralized. Furthermore, the two-phase design (acute perioperative analgesics followed by chronic postsurgical pain proxy with confounder adjustment) provides complementary perspectives on the same underlying question. We acknowledge the ecological design as a limitation, but submit that population-level evidence is a necessary first step toward individual-level investigations, and that our findings establish a clear rationale for such studies.</w:t>
      </w:r>
    </w:p>
    <w:p>
      <w:r>
        <w:t>This manuscript has not been published previously, is not under consideration elsewhere, and its publication is approved by all authors. The authors declare no conflicts of interest. As the study used only publicly available aggregate data, ethical approval was not required. The NDB Open Data and analysis code are publicly available (URLs provided in the manuscript).</w:t>
      </w:r>
    </w:p>
    <w:p>
      <w:r>
        <w:t>Should the Editor find it helpful, we would be pleased to suggest potential reviewers with expertise in cross-cultural pain research and population-level pain epidemiology. We would also be grateful if the manuscript could be considered for accompanying Editorial Commentary, given the breadth of its clinical implications.</w:t>
      </w:r>
    </w:p>
    <w:p>
      <w:r>
        <w:t>We thank you for your consideration and look forward to your response.</w:t>
      </w:r>
    </w:p>
    <w:p/>
    <w:p>
      <w:r>
        <w:t>Sincerely,</w:t>
      </w:r>
    </w:p>
    <w:p/>
    <w:p>
      <w:r>
        <w:rPr>
          <w:b w:val="0"/>
        </w:rPr>
        <w:t>[Corresponding author name]</w:t>
        <w:br/>
      </w:r>
      <w:r>
        <w:t>[Title, Department]</w:t>
        <w:br/>
      </w:r>
      <w:r>
        <w:t>[Institution]</w:t>
        <w:br/>
      </w:r>
      <w:r>
        <w:t>[Address]</w:t>
        <w:br/>
      </w:r>
      <w:r>
        <w:t>E-mail: [email]</w:t>
        <w:br/>
      </w:r>
      <w:r>
        <w:t>Tel: [phone]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