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STROBE Statement — Checklist of items that should be included in reports of cross-sectional studies</w:t>
      </w:r>
    </w:p>
    <w:p>
      <w:pPr>
        <w:jc w:val="center"/>
      </w:pPr>
      <w:r>
        <w:rPr>
          <w:i/>
          <w:sz w:val="20"/>
        </w:rPr>
        <w:t>“Japanese Patient”? — A Patient.: Regional Heterogeneity in Pain-Related Prescribing Challenges the Stereotype of a Stoic Monolith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850"/>
            <w:shd w:fill="4472C4" w:val="clear"/>
          </w:tcPr>
          <w:p>
            <w:r>
              <w:rPr>
                <w:b/>
                <w:color w:val="FFFFFF"/>
                <w:sz w:val="18"/>
              </w:rPr>
              <w:t>Item No.</w:t>
            </w:r>
          </w:p>
        </w:tc>
        <w:tc>
          <w:tcPr>
            <w:tcW w:type="dxa" w:w="5669"/>
            <w:shd w:fill="4472C4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2551"/>
            <w:shd w:fill="4472C4" w:val="clear"/>
          </w:tcPr>
          <w:p>
            <w:r>
              <w:rPr>
                <w:b/>
                <w:color w:val="FFFFFF"/>
                <w:sz w:val="18"/>
              </w:rPr>
              <w:t>Reported on page / section</w:t>
            </w:r>
          </w:p>
        </w:tc>
        <w:tc>
          <w:tcPr>
            <w:tcW w:type="dxa" w:w="6066"/>
            <w:shd w:fill="4472C4" w:val="clear"/>
          </w:tcPr>
          <w:p>
            <w:r>
              <w:rPr>
                <w:b/>
                <w:color w:val="FFFFFF"/>
                <w:sz w:val="18"/>
              </w:rPr>
              <w:t>How addressed in manuscript</w:t>
            </w:r>
          </w:p>
        </w:tc>
      </w:tr>
      <w:tr>
        <w:tc>
          <w:tcPr>
            <w:tcW w:type="dxa" w:w="6066"/>
            <w:gridSpan w:val="4"/>
            <w:shd w:fill="D9E2F3" w:val="clear"/>
          </w:tcPr>
          <w:p>
            <w:r>
              <w:rPr>
                <w:b/>
                <w:sz w:val="20"/>
              </w:rPr>
              <w:t>Title and abstract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(a) Indicate the study’s design with a commonly used term in the title or the abstract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Title page and Abstract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Title includes “Regional Heterogeneity in Pain-Related Prescribing”; Abstract states “ecological cross-sectional study using NDB Open Data”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(b) Provide in the abstract an informative and balanced summary of what was done and what was found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Abstract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Unstructured abstract covers objective, methods (NDB Open Data, 47 prefectures, 5 regression models), key results (1.97-fold variation, Tohoku paradox, confounder attenuation), and conclusion</w:t>
            </w:r>
          </w:p>
        </w:tc>
      </w:tr>
      <w:tr>
        <w:tc>
          <w:tcPr>
            <w:tcW w:type="dxa" w:w="6066"/>
            <w:gridSpan w:val="4"/>
            <w:shd w:fill="D9E2F3" w:val="clear"/>
          </w:tcPr>
          <w:p>
            <w:r>
              <w:rPr>
                <w:b/>
                <w:sz w:val="20"/>
              </w:rPr>
              <w:t>Introduction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Introduction, paragraphs 1–4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Cultural influences on pain perception [1–4]; Japanese stoicism evidence [5–7]; within-country variation rationale [8–11]; NDB as data source [12]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Introduction, final paragraph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Three objectives stated: (1) map acute perioperative prescribing, (2) construct confounder-adjusted CPSP proxy, (3) integrate acute and chronic phases</w:t>
            </w:r>
          </w:p>
        </w:tc>
      </w:tr>
      <w:tr>
        <w:tc>
          <w:tcPr>
            <w:tcW w:type="dxa" w:w="6066"/>
            <w:gridSpan w:val="4"/>
            <w:shd w:fill="D9E2F3" w:val="clear"/>
          </w:tcPr>
          <w:p>
            <w:r>
              <w:rPr>
                <w:b/>
                <w:sz w:val="20"/>
              </w:rPr>
              <w:t>Methods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paragraph 1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“Ecological cross-sectional study” using NDB Open Data 10th edition (April 2023–March 2024)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“Data source”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NDB Open Data 10th edition; April 2023–March 2024; all 47 prefectures of Japan; population-complete insurance claims data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(a) Cross-sectional study — Give the eligibility criteria, and the sources and methods of selection of participants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“Data source”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All insurance-reimbursed prescriptions and surgical procedures in NDB; prefecture-level aggregation (n = 47 units)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“Phase 1 index” through “Statistical analysis”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Outcome: neuropathic pain drug prescribing per surgery. Exposure: prefecture/region (is_Tohoku). Confounders: diabetes drugs, herpes zoster drugs, antidepressants, anxiolytics per surgery. Five regression models specified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For each variable of interest, give sources of data and details of methods of assessment (measurement)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“Phase 1 index” and “Phase 2 index”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Phase 1: inpatient analgesic prescriptions (drug classification codes specified) ÷ surgical procedures. Phase 2: outpatient neuropathic pain drugs (pregabalin, mirogabalin, duloxetine, tramadol, neurotropin) ÷ surgeries. Confounder proxies: disease-specific drug prescriptions per surgery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“Statistical analysis”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Multiple regression models adjusting for confounding diseases; residual-based adjusted CPSP index; sensitivity analyses with core neuropathic drugs only (Model 3) and nerve blocks (Model 4)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 / Results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Population-complete: all insurance-reimbursed healthcare in Japan during study period. N = 47 prefectures (ecological units). 7,903,515 surgical procedures; 274,579,851 analgesic prescription units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“Statistical analysis”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Per-surgery indices (continuous); is_Tohoku (binary); Pearson/Spearman correlations; OLS regression; Mann–Whitney U; Cohen’s d with pooled SD; adjusted CPSP index as regression residuals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(a) Describe all statistical methods, including those used to control for confounding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“Statistical analysis”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Five OLS regression models specified; Mann–Whitney U for Tohoku vs rest; Kruskal–Wallis across 9 regions; Pearson/Spearman correlations; Cohen’s d effect size; residual-based confounder adjustment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(b) Describe any methods used to examine subgroups and interactions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Regional block comparisons (9 blocks); Tohoku vs non-Tohoku subgroup analysis; drug class-specific analyses (NSAIDs, opioids)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(c) Explain how missing data were addressed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NDB Open Data is population-complete with no missing prefectures. Cell suppression (&lt;1,000 cases) noted as limitation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(d) Cross-sectional study — If applicable, describe analytical methods taking account of sampling strategy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Census data (population-complete), not a sample; no sampling weights needed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(e) Describe any sensitivity analyses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Methods, Models 3–5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Model 3 (core neuropathic drugs only), Model 4 (nerve blocks), Model 5 (integrated with Phase 1 acute index)</w:t>
            </w:r>
          </w:p>
        </w:tc>
      </w:tr>
      <w:tr>
        <w:tc>
          <w:tcPr>
            <w:tcW w:type="dxa" w:w="6066"/>
            <w:gridSpan w:val="4"/>
            <w:shd w:fill="D9E2F3" w:val="clear"/>
          </w:tcPr>
          <w:p>
            <w:r>
              <w:rPr>
                <w:b/>
                <w:sz w:val="20"/>
              </w:rPr>
              <w:t>Results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(a) Report numbers of individuals at each stage of study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Results, paragraph 1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7,903,515 inpatient surgical procedures; 274,579,851 analgesic prescription units; 47 prefectures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(b) Give reasons for non-participation at each stage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Population-complete ecological data; no individual-level participation/exclusion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(c) Consider use of a flow diagram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Not applicable for ecological study using aggregate open data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(a) Give characteristics of study participants and information on exposures and potential confounders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Results, Table 1; Results paragraphs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Table 1: regional block characteristics (n, mean, SD, range). Confounder correlations reported (diabetes r = 0.87, anxiolytics r = 0.75, etc.)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(b) Indicate number of participants with missing data for each variable of interest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No missing data — NDB provides complete prefecture-level aggregates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Results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National mean analgesic index 35.78 (SD 5.56); range 25.20–49.75; Tohoku mean neuropathic index reported with SD; all model coefficients and P values in Table 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(a) Give unadjusted estimates and, if applicable, confounder-adjusted estimates and their precision. Make clear which confounders were adjusted for and why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Results; Table 2; Table 3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Unadjusted: Cohen’s d = 2.81 (P &lt; 0.001). Adjusted models 2–5: β coefficients with P values. Adjusted CPSP index: d = 0.44 (P = 0.268). Confounders specified: diabetes, herpes zoster, antidepressants, anxiolytics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(b) Report category boundaries when continuous variables were categorized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Continuous variables not categorized; binary Tohoku grouping defined by geographic region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(c) If relevant, consider translating estimates of relative risk into absolute risk for a meaningful time period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Ecological prescribing indices; not relative/absolute risk estimates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Report other analyses done — e.g., analyses of subgroups and interactions, and sensitivity analyses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Results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Drug class-specific analyses (NSAIDs P = 0.044, opioid alkaloids P = 0.003, synthetic opioids P = 0.001); Phase 1–Phase 2 integration (r = 0.38 unadjusted, r = 0.29 adjusted); Supplementary Fig. 1 heatmap</w:t>
            </w:r>
          </w:p>
        </w:tc>
      </w:tr>
      <w:tr>
        <w:tc>
          <w:tcPr>
            <w:tcW w:type="dxa" w:w="6066"/>
            <w:gridSpan w:val="4"/>
            <w:shd w:fill="D9E2F3" w:val="clear"/>
          </w:tcPr>
          <w:p>
            <w:r>
              <w:rPr>
                <w:b/>
                <w:sz w:val="20"/>
              </w:rPr>
              <w:t>Discussion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Discussion, paragraphs 1–2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Three principal findings: (1) 1.97-fold within-Japan variation, (2) confounders explain Tohoku excess, (3) modest acute–chronic continuum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Discuss limitations of the study, taking into account sources of potential bias or imprecision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Discussion, “Strengths and limitations”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Ecological fallacy; no diagnosis codes in NDB; drug proxy limitations; cross-sectional design; unmeasured confounders; cell suppression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Discussion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Exploratory/hypothesis-generating framing throughout; comparison with Wakaizumi [13] and Matsuoka [14]; cultural stereotype critique grounded in Anderson [17], Campbell [18], Befu [19], Burgess [20]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Discussion, “Clinical implications” and “Implications and future directions”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Generalizability to international clinical settings discussed; argument extended beyond Japan to all cultural stereotypes; future individual-level studies recommended</w:t>
            </w:r>
          </w:p>
        </w:tc>
      </w:tr>
      <w:tr>
        <w:tc>
          <w:tcPr>
            <w:tcW w:type="dxa" w:w="6066"/>
            <w:gridSpan w:val="4"/>
            <w:shd w:fill="D9E2F3" w:val="clear"/>
          </w:tcPr>
          <w:p>
            <w:r>
              <w:rPr>
                <w:b/>
                <w:sz w:val="20"/>
              </w:rPr>
              <w:t>Other information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5669"/>
          </w:tcPr>
          <w:p>
            <w:r>
              <w:rPr>
                <w:sz w:val="16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Acknowledgments / Conflict of interest</w:t>
            </w:r>
          </w:p>
        </w:tc>
        <w:tc>
          <w:tcPr>
            <w:tcW w:type="dxa" w:w="6066"/>
          </w:tcPr>
          <w:p>
            <w:r>
              <w:rPr>
                <w:sz w:val="16"/>
              </w:rPr>
              <w:t>No external funding declared; no conflicts of interest; NDB Open Data is publicly available from MHLW</w:t>
            </w:r>
          </w:p>
        </w:tc>
      </w:tr>
    </w:tbl>
    <w:p/>
    <w:p>
      <w:r>
        <w:rPr>
          <w:i/>
          <w:sz w:val="16"/>
        </w:rPr>
        <w:t>Reference: von Elm E, Altman DG, Egger M, Pocock SJ, Gotzsche PC, Vandenbroucke JP. The Strengthening the Reporting of Observational Studies in Epidemiology (STROBE) statement: guidelines for reporting observational studies. Lancet. 2007;370:1453–1457.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