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Do Cultural Labels Predict Analgesic Need? A 47-Prefecture Ecological Study of Pain Prescribing Variation in Japan</w:t>
      </w:r>
    </w:p>
    <w:p/>
    <w:p>
      <w:pPr>
        <w:jc w:val="center"/>
      </w:pPr>
      <w:r>
        <w:rPr>
          <w:sz w:val="24"/>
        </w:rPr>
        <w:t>Tatsuki Onishi, MD</w:t>
      </w:r>
    </w:p>
    <w:p/>
    <w:p>
      <w:pPr>
        <w:jc w:val="center"/>
      </w:pPr>
      <w:r>
        <w:t>Department of Anesthesiology, [Institution], [Address], [City], [Postal code], Japan</w:t>
      </w:r>
    </w:p>
    <w:p/>
    <w:p>
      <w:r>
        <w:rPr>
          <w:b/>
        </w:rPr>
        <w:t xml:space="preserve">Corresponding author: </w:t>
      </w:r>
      <w:r>
        <w:t>Tatsuki Onishi, MD, Department of Anesthesiology, [Institution], [Address], [City], [Postal code], Japan. E-mail: [email]</w:t>
      </w:r>
    </w:p>
    <w:p/>
    <w:p>
      <w:r>
        <w:rPr>
          <w:b/>
        </w:rPr>
        <w:t xml:space="preserve">Word count: </w:t>
      </w:r>
      <w:r>
        <w:t>[body word count] (excluding abstract, references, tables, and figure legends)</w:t>
      </w:r>
    </w:p>
    <w:p>
      <w:r>
        <w:br w:type="page"/>
      </w:r>
    </w:p>
    <w:p>
      <w:pPr>
        <w:pStyle w:val="Heading1"/>
      </w:pPr>
      <w:r>
        <w:rPr>
          <w:rFonts w:ascii="Times New Roman" w:hAnsi="Times New Roman"/>
          <w:color w:val="000000"/>
        </w:rPr>
        <w:t>Abstract</w:t>
      </w:r>
    </w:p>
    <w:p>
      <w:r>
        <w:rPr>
          <w:b/>
        </w:rPr>
        <w:t xml:space="preserve">Background: </w:t>
      </w:r>
      <w:r>
        <w:t>Clinicians frequently rely on cultural labels when estimating analgesic requirements, yet whether pain-related prescribing varies within Japan has not been examined at the population level.</w:t>
      </w:r>
    </w:p>
    <w:p>
      <w:r>
        <w:rPr>
          <w:b/>
        </w:rPr>
        <w:t xml:space="preserve">Methods: </w:t>
      </w:r>
      <w:r>
        <w:t>This ecological study used Japan’s National Database of Health Insurance Claims (NDB Open Data, 10th edition; population-complete, April 2023–March 2024) to map pain-related prescribing across all 47 prefectures. Phase 1 examined acute perioperative analgesic prescribing per surgery. Phase 2 examined outpatient neuropathic pain drug prescribing as a chronic postsurgical pain proxy, adjusted for confounding diseases using multiple regression. Standardised claim ratios (SCR) confirmed findings after age-sex standardisation.</w:t>
      </w:r>
    </w:p>
    <w:p>
      <w:r>
        <w:rPr>
          <w:b/>
        </w:rPr>
        <w:t xml:space="preserve">Results: </w:t>
      </w:r>
      <w:r>
        <w:t>Acute analgesic prescribing varied 1·97-fold across prefectures (Kruskal–Wallis P&lt;0.001). Tohoku—traditionally considered Japan’s most stoic region—prescribed more, not fewer, analgesics (Cohen’s d=0.87). Unadjusted neuropathic pain prescribing showed a large Tohoku excess (d=2.81), but diabetes drug prescribing was a strong confounder (r=0.87). After adjustment, the Tohoku effect was attenuated by 84% (P=0.32). SCR confirmed 2.33-fold variation after age-sex standardisation.</w:t>
      </w:r>
    </w:p>
    <w:p>
      <w:r>
        <w:rPr>
          <w:b/>
        </w:rPr>
        <w:t xml:space="preserve">Conclusion: </w:t>
      </w:r>
      <w:r>
        <w:t>Nearly twofold within-country variation demonstrates that cultural labels do not predict analgesic need. Confounding diseases substantially modified the apparent regional pattern. Clinicians should base analgesic decisions on individual assessment rather than cultural assumptions.</w:t>
      </w:r>
    </w:p>
    <w:p>
      <w:r>
        <w:br w:type="page"/>
      </w:r>
    </w:p>
    <w:p>
      <w:pPr>
        <w:pStyle w:val="Heading2"/>
      </w:pPr>
      <w:r>
        <w:rPr>
          <w:rFonts w:ascii="Times New Roman" w:hAnsi="Times New Roman"/>
          <w:color w:val="000000"/>
        </w:rPr>
        <w:t>What is already known on this topic</w:t>
      </w:r>
    </w:p>
    <w:p>
      <w:pPr>
        <w:pStyle w:val="ListBullet"/>
      </w:pPr>
      <w:r>
        <w:t>Cross-cultural studies characterise Japanese people as stoic toward pain, yet all prior comparisons treat Japan as a homogeneous unit.</w:t>
      </w:r>
    </w:p>
    <w:p>
      <w:pPr>
        <w:pStyle w:val="ListBullet"/>
      </w:pPr>
      <w:r>
        <w:t>Regional variation in chronic pain prevalence and cancer opioid prescribing has been documented in Japan, but no study has examined perioperative analgesic prescribing at the population level.</w:t>
      </w:r>
    </w:p>
    <w:p>
      <w:pPr>
        <w:pStyle w:val="ListBullet"/>
      </w:pPr>
      <w:r>
        <w:t>Cultural stereotypes can influence clinician pain assessment and prescribing behaviour, leading to systematic under- or over-treatment.</w:t>
      </w:r>
    </w:p>
    <w:p>
      <w:pPr>
        <w:pStyle w:val="Heading2"/>
      </w:pPr>
      <w:r>
        <w:rPr>
          <w:rFonts w:ascii="Times New Roman" w:hAnsi="Times New Roman"/>
          <w:color w:val="000000"/>
        </w:rPr>
        <w:t>What this study adds</w:t>
      </w:r>
    </w:p>
    <w:p>
      <w:pPr>
        <w:pStyle w:val="ListBullet"/>
      </w:pPr>
      <w:r>
        <w:t>Acute perioperative analgesic prescribing varies 1.97-fold across Japan’s 47 prefectures, refuting the notion of uniform stoicism.</w:t>
      </w:r>
    </w:p>
    <w:p>
      <w:pPr>
        <w:pStyle w:val="ListBullet"/>
      </w:pPr>
      <w:r>
        <w:t>Tohoku—Japan’s culturally "most stoic" region—prescribes more, not fewer, analgesics, and this apparent excess is largely explained by confounding disease prevalence.</w:t>
      </w:r>
    </w:p>
    <w:p>
      <w:pPr>
        <w:pStyle w:val="ListBullet"/>
      </w:pPr>
      <w:r>
        <w:t>Within-country prescribing heterogeneity challenges the validity of any national-level cultural stereotype in clinical decision-making.</w:t>
      </w:r>
    </w:p>
    <w:p>
      <w:pPr>
        <w:pStyle w:val="Heading2"/>
      </w:pPr>
      <w:r>
        <w:rPr>
          <w:rFonts w:ascii="Times New Roman" w:hAnsi="Times New Roman"/>
          <w:color w:val="000000"/>
        </w:rPr>
        <w:t>How this study might affect research, practice or policy</w:t>
      </w:r>
    </w:p>
    <w:p>
      <w:pPr>
        <w:pStyle w:val="ListBullet"/>
      </w:pPr>
      <w:r>
        <w:t>Clinicians should base analgesic decisions on individual assessment rather than cultural assumptions about pain tolerance—the nearly twofold within-Japan variation demonstrates that no national-level stereotype reliably predicts prescribing need.</w:t>
      </w:r>
    </w:p>
    <w:p>
      <w:pPr>
        <w:pStyle w:val="ListBullet"/>
      </w:pPr>
      <w:r>
        <w:t>Ecological studies using neuropathic pain drug prescribing as a chronic pain proxy must adjust for confounding diseases (especially diabetes); without adjustment, regional differences in disease prevalence can be misinterpreted as pain behaviour differences.</w:t>
      </w:r>
    </w:p>
    <w:p>
      <w:pPr>
        <w:pStyle w:val="ListBullet"/>
      </w:pPr>
      <w:r>
        <w:t>The within-database confounder-adjustment framework demonstrated here is replicable in any country with a national claims database and could inform future population-level pain research.</w:t>
      </w:r>
    </w:p>
    <w:p>
      <w:r>
        <w:br w:type="page"/>
      </w:r>
    </w:p>
    <w:p>
      <w:pPr>
        <w:pStyle w:val="Heading1"/>
      </w:pPr>
      <w:r>
        <w:rPr>
          <w:rFonts w:ascii="Times New Roman" w:hAnsi="Times New Roman"/>
          <w:color w:val="000000"/>
        </w:rPr>
        <w:t>Introduction</w:t>
      </w:r>
    </w:p>
    <w:p>
      <w:r>
        <w:t>When prescribing analgesics, clinicians routinely make assumptions about how much pain a patient can tolerate. These assumptions are often anchored to cultural labels.</w:t>
      </w:r>
      <w:r>
        <w:rPr>
          <w:sz w:val="20"/>
          <w:vertAlign w:val="superscript"/>
        </w:rPr>
        <w:t>1,2</w:t>
      </w:r>
      <w:r>
        <w:t xml:space="preserve"> Since Zborowski’s landmark observation that ethnic groups differ in pain behaviour,</w:t>
      </w:r>
      <w:r>
        <w:rPr>
          <w:sz w:val="20"/>
          <w:vertAlign w:val="superscript"/>
        </w:rPr>
        <w:t>3</w:t>
      </w:r>
      <w:r>
        <w:t xml:space="preserve"> a large body of literature has established that cultural norms influence pain reporting, treatment-seeking, and analgesic use.</w:t>
      </w:r>
      <w:r>
        <w:rPr>
          <w:sz w:val="20"/>
          <w:vertAlign w:val="superscript"/>
        </w:rPr>
        <w:t>4</w:t>
      </w:r>
      <w:r>
        <w:t xml:space="preserve"> Japan is a case in point: Hobara found that Japanese respondents rated pain behaviours as less appropriate than Euro-Americans,</w:t>
      </w:r>
      <w:r>
        <w:rPr>
          <w:sz w:val="20"/>
          <w:vertAlign w:val="superscript"/>
        </w:rPr>
        <w:t>5</w:t>
      </w:r>
      <w:r>
        <w:t xml:space="preserve"> and Feng et al showed that Japanese participants were far less willing to trade time to avoid pain on the EQ-5D than respondents in the UK and the Netherlands.</w:t>
      </w:r>
      <w:r>
        <w:rPr>
          <w:sz w:val="20"/>
          <w:vertAlign w:val="superscript"/>
        </w:rPr>
        <w:t>6</w:t>
      </w:r>
      <w:r>
        <w:t xml:space="preserve"> The resulting cultural label—“Japanese patients are stoic”—carries clinical risk whenever a clinician—whether surgeon, internist, or anaesthesiologist—assumes that a stoic presentation indicates lower analgesic need.</w:t>
      </w:r>
    </w:p>
    <w:p>
      <w:r>
        <w:t>Most cross-cultural pain studies compare behaviour between nations, treating each country as a homogeneous unit. However, substantial cultural heterogeneity exists within countries. Cohen and Nisbett demonstrated that the “culture of honour” in the southern United States produces measurably different behavioural responses from the North, including physiological stress responses.</w:t>
      </w:r>
      <w:r>
        <w:rPr>
          <w:sz w:val="20"/>
          <w:vertAlign w:val="superscript"/>
        </w:rPr>
        <w:t>7</w:t>
      </w:r>
      <w:r>
        <w:t xml:space="preserve"> In Japan, regional cultural identities remain strong despite the discourse of national homogeneity. The Tohoku region (northeastern Honshu) is traditionally perceived as embodying stoic endurance,</w:t>
      </w:r>
      <w:r>
        <w:rPr>
          <w:sz w:val="20"/>
          <w:vertAlign w:val="superscript"/>
        </w:rPr>
        <w:t>8</w:t>
      </w:r>
      <w:r>
        <w:t xml:space="preserve"> and even the Japanese word for throbbing pain (uzuku) shows distinct regional usage patterns that map onto historical dialect boundaries.</w:t>
      </w:r>
      <w:r>
        <w:rPr>
          <w:sz w:val="20"/>
          <w:vertAlign w:val="superscript"/>
        </w:rPr>
        <w:t>9</w:t>
      </w:r>
      <w:r>
        <w:t xml:space="preserve"> A 2017 Pfizer Japan survey found that the proportion of chronic pain patients “enduring pain without seeking treatment” ranged from 48·7% to 81·6% across prefectures.</w:t>
      </w:r>
      <w:r>
        <w:rPr>
          <w:sz w:val="20"/>
          <w:vertAlign w:val="superscript"/>
        </w:rPr>
        <w:t>10</w:t>
      </w:r>
      <w:r>
        <w:t xml:space="preserve"> Yet whether such differences translate into measurable differences in healthcare utilisation at the population level remains unknown.</w:t>
      </w:r>
    </w:p>
    <w:p>
      <w:r>
        <w:t>Japan’s universal health insurance system, standardised drug pricing, and the National Database of Health Insurance Claims (NDB)—capturing virtually all reimbursed healthcare utilisation for approximately 125 million insured individuals</w:t>
      </w:r>
      <w:r>
        <w:rPr>
          <w:sz w:val="20"/>
          <w:vertAlign w:val="superscript"/>
        </w:rPr>
        <w:t>11</w:t>
      </w:r>
      <w:r>
        <w:t>—provide a unique setting for ecological analysis of regional prescribing variation. Recent work has documented up to 1·6-fold regional variation in chronic pain prevalence using a large internet survey</w:t>
      </w:r>
      <w:r>
        <w:rPr>
          <w:sz w:val="20"/>
          <w:vertAlign w:val="superscript"/>
        </w:rPr>
        <w:t>12</w:t>
      </w:r>
      <w:r>
        <w:t xml:space="preserve"> and 4-fold variation in cancer opioid prescribing using hospital claims data.</w:t>
      </w:r>
      <w:r>
        <w:rPr>
          <w:sz w:val="20"/>
          <w:vertAlign w:val="superscript"/>
        </w:rPr>
        <w:t>13</w:t>
      </w:r>
      <w:r>
        <w:t xml:space="preserve"> Taira et al demonstrated substantial regional inequality in dental care utilisation using NDB-derived standardised claim ratios across all 47 prefectures.</w:t>
      </w:r>
      <w:r>
        <w:rPr>
          <w:sz w:val="20"/>
          <w:vertAlign w:val="superscript"/>
        </w:rPr>
        <w:t>14</w:t>
      </w:r>
      <w:r>
        <w:t xml:space="preserve"> However, no study has applied this population-complete ecological framework to pain-related prescribing.</w:t>
      </w:r>
    </w:p>
    <w:p>
      <w:r>
        <w:t>The perioperative setting offers a further methodological advantage: because all patients in Phase 1 are hospitalised for surgery, healthcare access—a major confounder in community-based pain studies—is neutralised by design. This study had three objectives: (1) map regional variation in acute perioperative analgesic prescribing across 47 prefectures; (2) examine outpatient neuropathic pain prescribing as a chronic postsurgical pain (CPSP) proxy after adjustment for confounding diseases; and (3) integrate acute and chronic pain findings at the population level.</w:t>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w:t>
      </w:r>
    </w:p>
    <w:p>
      <w:r>
        <w:t>This ecological study analysed prefecture-level aggregate data from the NDB Open Data. It is reported following the Strengthening the Reporting of Observational Studies in Epidemiology (STROBE) statement</w:t>
      </w:r>
      <w:r>
        <w:rPr>
          <w:sz w:val="20"/>
          <w:vertAlign w:val="superscript"/>
        </w:rPr>
        <w:t>15</w:t>
      </w:r>
      <w:r>
        <w:t xml:space="preserve"> and the REporting of studies Conducted using Observational Routinely-collected health Data (RECORD) extension.</w:t>
      </w:r>
      <w:r>
        <w:rPr>
          <w:sz w:val="20"/>
          <w:vertAlign w:val="superscript"/>
        </w:rPr>
        <w:t>16</w:t>
      </w:r>
      <w:r>
        <w:t xml:space="preserve"> As only publicly available aggregate data were used, ethical approval was not required under Japan’s Ethical Guidelines for Medical and Biological Research Involving Human Subjects.</w:t>
      </w:r>
    </w:p>
    <w:p>
      <w:pPr>
        <w:pStyle w:val="Heading2"/>
      </w:pPr>
      <w:r>
        <w:rPr>
          <w:rFonts w:ascii="Times New Roman" w:hAnsi="Times New Roman"/>
          <w:color w:val="000000"/>
        </w:rPr>
        <w:t>Data source</w:t>
      </w:r>
    </w:p>
    <w:p>
      <w:r>
        <w:t>The 10th edition of the NDB Open Data (April 2023–March 2024) was used.</w:t>
      </w:r>
      <w:r>
        <w:rPr>
          <w:sz w:val="20"/>
          <w:vertAlign w:val="superscript"/>
        </w:rPr>
        <w:t>11</w:t>
      </w:r>
      <w:r>
        <w:t xml:space="preserve"> The NDB captures claims from all insurers within Japan’s universal coverage system, encompassing approximately 125 million insured individuals. Aggregate prescription and procedure data are published at the prefecture level (n=47) with suppression of cells containing fewer than ten events. Prefecture-level population estimates (October 2023, by five-year age group and sex) from the Statistics Bureau of Japan were used to compute per-capita rates and standardised claim ratios (SCR).</w:t>
      </w:r>
    </w:p>
    <w:p>
      <w:pPr>
        <w:pStyle w:val="Heading2"/>
      </w:pPr>
      <w:r>
        <w:rPr>
          <w:rFonts w:ascii="Times New Roman" w:hAnsi="Times New Roman"/>
          <w:color w:val="000000"/>
        </w:rPr>
        <w:t>Regional classification</w:t>
      </w:r>
    </w:p>
    <w:p>
      <w:r>
        <w:t>Prefectures were grouped into nine standard regional blocks following the classification used by the Statistics Bureau of Japan: Hokkaido (1 prefecture), Tohoku (6: Aomori, Iwate, Miyagi, Akita, Yamagata, Fukushima), Kanto (7), Hokuriku-Koshinetsu (6), Tokai (4), Kinki (6), Chugoku (5), Shikoku (4), and Kyushu-Okinawa (8). Tohoku was designated as the primary region of interest a priori, based on its traditional cultural characterisation as embodying patient endurance (gaman).</w:t>
      </w:r>
    </w:p>
    <w:p>
      <w:pPr>
        <w:pStyle w:val="Heading2"/>
      </w:pPr>
      <w:r>
        <w:rPr>
          <w:rFonts w:ascii="Times New Roman" w:hAnsi="Times New Roman"/>
          <w:color w:val="000000"/>
        </w:rPr>
        <w:t>Phase 1: Acute perioperative analgesic prescribing</w:t>
      </w:r>
    </w:p>
    <w:p>
      <w:r>
        <w:t>Inpatient prescription data were extracted for three analgesic drug classes commonly used in perioperative pain management: Class 114 (antipyretic analgesics including NSAIDs and acetaminophen), Class 811 (opium alkaloid narcotics including morphine and codeine), and Class 821 (synthetic narcotics including fentanyl and pethidine). Inpatient surgical procedure counts were extracted from the K Surgery section of the claims data. The analgesic-per-surgery index was calculated for each prefecture as total inpatient analgesic prescription units divided by total inpatient surgical procedure count. This ratio provides a standardised measure of analgesic intensity that accounts for differences in surgical volume between prefectures. Separate sub-analyses were conducted for each drug class to assess consistency.</w:t>
      </w:r>
    </w:p>
    <w:p>
      <w:pPr>
        <w:pStyle w:val="Heading2"/>
      </w:pPr>
      <w:r>
        <w:rPr>
          <w:rFonts w:ascii="Times New Roman" w:hAnsi="Times New Roman"/>
          <w:color w:val="000000"/>
        </w:rPr>
        <w:t>Phase 2: Outpatient neuropathic pain prescribing</w:t>
      </w:r>
    </w:p>
    <w:p>
      <w:r>
        <w:t>Five classes of outpatient oral neuropathic pain medications were extracted: pregabalin (78 formulations), mirogabalin (8 formulations), duloxetine (33 formulations), tramadol (3 formulations), and neurotropin (1 formulation). These agents are first-line or commonly used medications for neuropathic pain in Japan and serve as a population-level proxy for chronic neuropathic pain burden. The neuropathic pain prescribing-per-surgery index was calculated as total outpatient neuropathic pain drug quantity divided by total inpatient surgical procedure count, using surgery count as a denominator that normalises for healthcare system capacity. Per-capita neuropathic pain prescribing rates (units per thousand population) were additionally computed using prefecture population data.</w:t>
      </w:r>
    </w:p>
    <w:p>
      <w:pPr>
        <w:pStyle w:val="Heading2"/>
      </w:pPr>
      <w:r>
        <w:rPr>
          <w:rFonts w:ascii="Times New Roman" w:hAnsi="Times New Roman"/>
          <w:color w:val="000000"/>
        </w:rPr>
        <w:t>Confounder disease proxies</w:t>
      </w:r>
    </w:p>
    <w:p>
      <w:r>
        <w:t>Four confounder disease proxies were extracted from outpatient data: oral hypoglycaemic agents (261 formulations; proxy for diabetic neuropathy, the most common cause of neuropathic pain in Japan), herpes zoster antivirals (47 formulations; proxy for postherpetic neuralgia), antidepressants excluding duloxetine (128 formulations; proxy for depression, which shares gabapentinoid prescribing), and anxiolytics (112 formulations; proxy for anxiety disorders). Each proxy was expressed per surgery to maintain consistency with the primary outcome. Outpatient nerve block procedure counts (73 codes) served as an additional independent CPSP-related proxy.</w:t>
      </w:r>
    </w:p>
    <w:p>
      <w:pPr>
        <w:pStyle w:val="Heading2"/>
      </w:pPr>
      <w:r>
        <w:rPr>
          <w:rFonts w:ascii="Times New Roman" w:hAnsi="Times New Roman"/>
          <w:color w:val="000000"/>
        </w:rPr>
        <w:t>Statistical analysis</w:t>
      </w:r>
    </w:p>
    <w:p>
      <w:r>
        <w:t>Regional differences in Phase 1 were assessed using the Kruskal–Wallis test across nine regional blocks, followed by post-hoc Mann–Whitney U tests with Bonferroni correction for pairwise comparisons. Effect sizes were quantified using Cohen’s d. For Phase 2, five regression models were fitted to examine the Tohoku regional effect with progressive confounder adjustment: Model 1 (unadjusted Tohoku vs non-Tohoku comparison), Model 2 (neuropathic pain ~ diabetes + herpes + antidepressants + anxiolytics + Tohoku indicator), Model 3 (core neuropathic drugs only ~ same confounders), Model 4 (nerve blocks ~ same confounders), and Model 5 (neuropathic pain ~ acute analgesic index + confounders).</w:t>
      </w:r>
    </w:p>
    <w:p>
      <w:r>
        <w:t>The adjusted CPSP index was derived as residuals from regressing neuropathic pain prescribing on the four confounder proxies. Standardised claim ratios (SCR) were computed by indirect age-sex standardisation following Taira et al.</w:t>
      </w:r>
      <w:r>
        <w:rPr>
          <w:sz w:val="20"/>
          <w:vertAlign w:val="superscript"/>
        </w:rPr>
        <w:t>14</w:t>
      </w:r>
      <w:r>
        <w:t xml:space="preserve"> National age-sex-specific prescription rates (18 five-year age groups × 2 sexes) from the NDB were applied to each prefecture’s population structure. All analyses used Python 3.11 (NumPy 1.24, SciPy 1.11).</w:t>
      </w:r>
    </w:p>
    <w:p>
      <w:pPr>
        <w:pStyle w:val="Heading2"/>
      </w:pPr>
      <w:r>
        <w:rPr>
          <w:rFonts w:ascii="Times New Roman" w:hAnsi="Times New Roman"/>
          <w:color w:val="000000"/>
        </w:rPr>
        <w:t>Patient and public involvement</w:t>
      </w:r>
    </w:p>
    <w:p>
      <w:r>
        <w:t>Patients or members of the public were not involved in the design, conduct, reporting, or dissemination plans of this research.</w:t>
      </w:r>
    </w:p>
    <w:p>
      <w:pPr>
        <w:pStyle w:val="Heading1"/>
      </w:pPr>
      <w:r>
        <w:rPr>
          <w:rFonts w:ascii="Times New Roman" w:hAnsi="Times New Roman"/>
          <w:color w:val="000000"/>
        </w:rPr>
        <w:t>Results</w:t>
      </w:r>
    </w:p>
    <w:p>
      <w:pPr>
        <w:pStyle w:val="Heading2"/>
      </w:pPr>
      <w:r>
        <w:rPr>
          <w:rFonts w:ascii="Times New Roman" w:hAnsi="Times New Roman"/>
          <w:color w:val="000000"/>
        </w:rPr>
        <w:t>Phase 1: Regional variation in acute perioperative analgesic prescribing</w:t>
      </w:r>
    </w:p>
    <w:p>
      <w:r>
        <w:t>During April 2023–March 2024, the NDB recorded 7,903,515 inpatient surgical procedures and 274,579,851 analgesic prescription units across 47 prefectures. The national mean analgesic-per-surgery index was 35.78 (SD 5.56), ranging from 25.20 (Gifu) to 49.75 (Kagoshima)—a 1.97-fold difference (Kruskal–Wallis P&lt;0.001 across nine regions; table 1).</w:t>
      </w:r>
    </w:p>
    <w:p>
      <w:pPr>
        <w:spacing w:before="280"/>
      </w:pPr>
      <w:r>
        <w:rPr>
          <w:b/>
          <w:sz w:val="20"/>
        </w:rPr>
        <w:t xml:space="preserve">Table 1. </w:t>
      </w:r>
      <w:r>
        <w:rPr>
          <w:sz w:val="20"/>
        </w:rPr>
        <w:t>Regional summary of inpatient analgesic prescribing per surgery across nine regional blocks. Values are analgesic-per-surgery index (mean ± SD). Kruskal–Wallis P&lt;0.001.</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Region</w:t>
            </w:r>
          </w:p>
        </w:tc>
        <w:tc>
          <w:tcPr>
            <w:tcW w:type="dxa" w:w="2126"/>
          </w:tcPr>
          <w:p>
            <w:r>
              <w:rPr>
                <w:b/>
                <w:sz w:val="18"/>
              </w:rPr>
              <w:t>n (prefectures)</w:t>
            </w:r>
          </w:p>
        </w:tc>
        <w:tc>
          <w:tcPr>
            <w:tcW w:type="dxa" w:w="2126"/>
          </w:tcPr>
          <w:p>
            <w:r>
              <w:rPr>
                <w:b/>
                <w:sz w:val="18"/>
              </w:rPr>
              <w:t>Mean ± SD</w:t>
            </w:r>
          </w:p>
        </w:tc>
        <w:tc>
          <w:tcPr>
            <w:tcW w:type="dxa" w:w="2126"/>
          </w:tcPr>
          <w:p>
            <w:r>
              <w:rPr>
                <w:b/>
                <w:sz w:val="18"/>
              </w:rPr>
              <w:t>Range</w:t>
            </w:r>
          </w:p>
        </w:tc>
      </w:tr>
      <w:tr>
        <w:tc>
          <w:tcPr>
            <w:tcW w:type="dxa" w:w="2126"/>
          </w:tcPr>
          <w:p>
            <w:r>
              <w:rPr>
                <w:sz w:val="18"/>
              </w:rPr>
              <w:t>Hokkaido</w:t>
            </w:r>
          </w:p>
        </w:tc>
        <w:tc>
          <w:tcPr>
            <w:tcW w:type="dxa" w:w="2126"/>
          </w:tcPr>
          <w:p>
            <w:r>
              <w:rPr>
                <w:sz w:val="18"/>
              </w:rPr>
              <w:t>1</w:t>
            </w:r>
          </w:p>
        </w:tc>
        <w:tc>
          <w:tcPr>
            <w:tcW w:type="dxa" w:w="2126"/>
          </w:tcPr>
          <w:p>
            <w:r>
              <w:rPr>
                <w:sz w:val="18"/>
              </w:rPr>
              <w:t>46.12</w:t>
            </w:r>
          </w:p>
        </w:tc>
        <w:tc>
          <w:tcPr>
            <w:tcW w:type="dxa" w:w="2126"/>
          </w:tcPr>
          <w:p>
            <w:r>
              <w:rPr>
                <w:sz w:val="18"/>
              </w:rPr>
              <w:t>46.12–46.12</w:t>
            </w:r>
          </w:p>
        </w:tc>
      </w:tr>
      <w:tr>
        <w:tc>
          <w:tcPr>
            <w:tcW w:type="dxa" w:w="2126"/>
          </w:tcPr>
          <w:p>
            <w:r>
              <w:rPr>
                <w:sz w:val="18"/>
              </w:rPr>
              <w:t>Tohoku</w:t>
            </w:r>
          </w:p>
        </w:tc>
        <w:tc>
          <w:tcPr>
            <w:tcW w:type="dxa" w:w="2126"/>
          </w:tcPr>
          <w:p>
            <w:r>
              <w:rPr>
                <w:sz w:val="18"/>
              </w:rPr>
              <w:t>6</w:t>
            </w:r>
          </w:p>
        </w:tc>
        <w:tc>
          <w:tcPr>
            <w:tcW w:type="dxa" w:w="2126"/>
          </w:tcPr>
          <w:p>
            <w:r>
              <w:rPr>
                <w:sz w:val="18"/>
              </w:rPr>
              <w:t>39.97 ± 3.53</w:t>
            </w:r>
          </w:p>
        </w:tc>
        <w:tc>
          <w:tcPr>
            <w:tcW w:type="dxa" w:w="2126"/>
          </w:tcPr>
          <w:p>
            <w:r>
              <w:rPr>
                <w:sz w:val="18"/>
              </w:rPr>
              <w:t>35.18–44.51</w:t>
            </w:r>
          </w:p>
        </w:tc>
      </w:tr>
      <w:tr>
        <w:tc>
          <w:tcPr>
            <w:tcW w:type="dxa" w:w="2126"/>
          </w:tcPr>
          <w:p>
            <w:r>
              <w:rPr>
                <w:sz w:val="18"/>
              </w:rPr>
              <w:t>Kanto</w:t>
            </w:r>
          </w:p>
        </w:tc>
        <w:tc>
          <w:tcPr>
            <w:tcW w:type="dxa" w:w="2126"/>
          </w:tcPr>
          <w:p>
            <w:r>
              <w:rPr>
                <w:sz w:val="18"/>
              </w:rPr>
              <w:t>7</w:t>
            </w:r>
          </w:p>
        </w:tc>
        <w:tc>
          <w:tcPr>
            <w:tcW w:type="dxa" w:w="2126"/>
          </w:tcPr>
          <w:p>
            <w:r>
              <w:rPr>
                <w:sz w:val="18"/>
              </w:rPr>
              <w:t>33.00 ± 2.09</w:t>
            </w:r>
          </w:p>
        </w:tc>
        <w:tc>
          <w:tcPr>
            <w:tcW w:type="dxa" w:w="2126"/>
          </w:tcPr>
          <w:p>
            <w:r>
              <w:rPr>
                <w:sz w:val="18"/>
              </w:rPr>
              <w:t>29.82–35.36</w:t>
            </w:r>
          </w:p>
        </w:tc>
      </w:tr>
      <w:tr>
        <w:tc>
          <w:tcPr>
            <w:tcW w:type="dxa" w:w="2126"/>
          </w:tcPr>
          <w:p>
            <w:r>
              <w:rPr>
                <w:sz w:val="18"/>
              </w:rPr>
              <w:t>Hokuriku-Koshinetsu</w:t>
            </w:r>
          </w:p>
        </w:tc>
        <w:tc>
          <w:tcPr>
            <w:tcW w:type="dxa" w:w="2126"/>
          </w:tcPr>
          <w:p>
            <w:r>
              <w:rPr>
                <w:sz w:val="18"/>
              </w:rPr>
              <w:t>6</w:t>
            </w:r>
          </w:p>
        </w:tc>
        <w:tc>
          <w:tcPr>
            <w:tcW w:type="dxa" w:w="2126"/>
          </w:tcPr>
          <w:p>
            <w:r>
              <w:rPr>
                <w:sz w:val="18"/>
              </w:rPr>
              <w:t>35.38 ± 3.54</w:t>
            </w:r>
          </w:p>
        </w:tc>
        <w:tc>
          <w:tcPr>
            <w:tcW w:type="dxa" w:w="2126"/>
          </w:tcPr>
          <w:p>
            <w:r>
              <w:rPr>
                <w:sz w:val="18"/>
              </w:rPr>
              <w:t>31.17–40.04</w:t>
            </w:r>
          </w:p>
        </w:tc>
      </w:tr>
      <w:tr>
        <w:tc>
          <w:tcPr>
            <w:tcW w:type="dxa" w:w="2126"/>
          </w:tcPr>
          <w:p>
            <w:r>
              <w:rPr>
                <w:sz w:val="18"/>
              </w:rPr>
              <w:t>Tokai</w:t>
            </w:r>
          </w:p>
        </w:tc>
        <w:tc>
          <w:tcPr>
            <w:tcW w:type="dxa" w:w="2126"/>
          </w:tcPr>
          <w:p>
            <w:r>
              <w:rPr>
                <w:sz w:val="18"/>
              </w:rPr>
              <w:t>4</w:t>
            </w:r>
          </w:p>
        </w:tc>
        <w:tc>
          <w:tcPr>
            <w:tcW w:type="dxa" w:w="2126"/>
          </w:tcPr>
          <w:p>
            <w:r>
              <w:rPr>
                <w:sz w:val="18"/>
              </w:rPr>
              <w:t>27.62 ± 2.18</w:t>
            </w:r>
          </w:p>
        </w:tc>
        <w:tc>
          <w:tcPr>
            <w:tcW w:type="dxa" w:w="2126"/>
          </w:tcPr>
          <w:p>
            <w:r>
              <w:rPr>
                <w:sz w:val="18"/>
              </w:rPr>
              <w:t>25.20–30.07</w:t>
            </w:r>
          </w:p>
        </w:tc>
      </w:tr>
      <w:tr>
        <w:tc>
          <w:tcPr>
            <w:tcW w:type="dxa" w:w="2126"/>
          </w:tcPr>
          <w:p>
            <w:r>
              <w:rPr>
                <w:sz w:val="18"/>
              </w:rPr>
              <w:t>Kinki</w:t>
            </w:r>
          </w:p>
        </w:tc>
        <w:tc>
          <w:tcPr>
            <w:tcW w:type="dxa" w:w="2126"/>
          </w:tcPr>
          <w:p>
            <w:r>
              <w:rPr>
                <w:sz w:val="18"/>
              </w:rPr>
              <w:t>6</w:t>
            </w:r>
          </w:p>
        </w:tc>
        <w:tc>
          <w:tcPr>
            <w:tcW w:type="dxa" w:w="2126"/>
          </w:tcPr>
          <w:p>
            <w:r>
              <w:rPr>
                <w:sz w:val="18"/>
              </w:rPr>
              <w:t>30.02 ± 2.03</w:t>
            </w:r>
          </w:p>
        </w:tc>
        <w:tc>
          <w:tcPr>
            <w:tcW w:type="dxa" w:w="2126"/>
          </w:tcPr>
          <w:p>
            <w:r>
              <w:rPr>
                <w:sz w:val="18"/>
              </w:rPr>
              <w:t>27.92–32.78</w:t>
            </w:r>
          </w:p>
        </w:tc>
      </w:tr>
      <w:tr>
        <w:tc>
          <w:tcPr>
            <w:tcW w:type="dxa" w:w="2126"/>
          </w:tcPr>
          <w:p>
            <w:r>
              <w:rPr>
                <w:sz w:val="18"/>
              </w:rPr>
              <w:t>Chugoku</w:t>
            </w:r>
          </w:p>
        </w:tc>
        <w:tc>
          <w:tcPr>
            <w:tcW w:type="dxa" w:w="2126"/>
          </w:tcPr>
          <w:p>
            <w:r>
              <w:rPr>
                <w:sz w:val="18"/>
              </w:rPr>
              <w:t>5</w:t>
            </w:r>
          </w:p>
        </w:tc>
        <w:tc>
          <w:tcPr>
            <w:tcW w:type="dxa" w:w="2126"/>
          </w:tcPr>
          <w:p>
            <w:r>
              <w:rPr>
                <w:sz w:val="18"/>
              </w:rPr>
              <w:t>35.73 ± 4.18</w:t>
            </w:r>
          </w:p>
        </w:tc>
        <w:tc>
          <w:tcPr>
            <w:tcW w:type="dxa" w:w="2126"/>
          </w:tcPr>
          <w:p>
            <w:r>
              <w:rPr>
                <w:sz w:val="18"/>
              </w:rPr>
              <w:t>30.99–40.19</w:t>
            </w:r>
          </w:p>
        </w:tc>
      </w:tr>
      <w:tr>
        <w:tc>
          <w:tcPr>
            <w:tcW w:type="dxa" w:w="2126"/>
          </w:tcPr>
          <w:p>
            <w:r>
              <w:rPr>
                <w:sz w:val="18"/>
              </w:rPr>
              <w:t>Shikoku</w:t>
            </w:r>
          </w:p>
        </w:tc>
        <w:tc>
          <w:tcPr>
            <w:tcW w:type="dxa" w:w="2126"/>
          </w:tcPr>
          <w:p>
            <w:r>
              <w:rPr>
                <w:sz w:val="18"/>
              </w:rPr>
              <w:t>4</w:t>
            </w:r>
          </w:p>
        </w:tc>
        <w:tc>
          <w:tcPr>
            <w:tcW w:type="dxa" w:w="2126"/>
          </w:tcPr>
          <w:p>
            <w:r>
              <w:rPr>
                <w:sz w:val="18"/>
              </w:rPr>
              <w:t>36.33 ± 3.27</w:t>
            </w:r>
          </w:p>
        </w:tc>
        <w:tc>
          <w:tcPr>
            <w:tcW w:type="dxa" w:w="2126"/>
          </w:tcPr>
          <w:p>
            <w:r>
              <w:rPr>
                <w:sz w:val="18"/>
              </w:rPr>
              <w:t>33.49–41.02</w:t>
            </w:r>
          </w:p>
        </w:tc>
      </w:tr>
      <w:tr>
        <w:tc>
          <w:tcPr>
            <w:tcW w:type="dxa" w:w="2126"/>
          </w:tcPr>
          <w:p>
            <w:r>
              <w:rPr>
                <w:sz w:val="18"/>
              </w:rPr>
              <w:t>Kyushu-Okinawa</w:t>
            </w:r>
          </w:p>
        </w:tc>
        <w:tc>
          <w:tcPr>
            <w:tcW w:type="dxa" w:w="2126"/>
          </w:tcPr>
          <w:p>
            <w:r>
              <w:rPr>
                <w:sz w:val="18"/>
              </w:rPr>
              <w:t>8</w:t>
            </w:r>
          </w:p>
        </w:tc>
        <w:tc>
          <w:tcPr>
            <w:tcW w:type="dxa" w:w="2126"/>
          </w:tcPr>
          <w:p>
            <w:r>
              <w:rPr>
                <w:sz w:val="18"/>
              </w:rPr>
              <w:t>42.26 ± 4.33</w:t>
            </w:r>
          </w:p>
        </w:tc>
        <w:tc>
          <w:tcPr>
            <w:tcW w:type="dxa" w:w="2126"/>
          </w:tcPr>
          <w:p>
            <w:r>
              <w:rPr>
                <w:sz w:val="18"/>
              </w:rPr>
              <w:t>35.81–49.75</w:t>
            </w:r>
          </w:p>
        </w:tc>
      </w:tr>
    </w:tbl>
    <w:p/>
    <w:p>
      <w:r>
        <w:t>Substantial regional clustering was observed. Tokai and Kinki (western Japan) had the lowest indices, while Kyushu-Okinawa and Hokkaido had the highest. Tohoku, culturally perceived as Japan’s most stoic region, ranked seventh of nine with a mean index of 39.97 (SD 3.53), significantly above the non-Tohoku mean of 35.17 (Mann–Whitney U=190, P=0.031; Cohen’s d=0.87). All six Tohoku prefectures ranked in the upper half nationally. This pattern was consistent across all three drug classes: NSAIDs (P=0.044), opioid alkaloids (P=0.003), and synthetic opioids (P=0.001).</w:t>
      </w:r>
    </w:p>
    <w:p>
      <w:pPr>
        <w:pStyle w:val="Heading2"/>
      </w:pPr>
      <w:r>
        <w:rPr>
          <w:rFonts w:ascii="Times New Roman" w:hAnsi="Times New Roman"/>
          <w:color w:val="000000"/>
        </w:rPr>
        <w:t>Phase 2: Outpatient neuropathic pain prescribing (unadjusted)</w:t>
      </w:r>
    </w:p>
    <w:p>
      <w:r>
        <w:t>Nationally, outpatient neuropathic pain drug prescriptions totalled 2,289,549,163 units, comprising pregabalin (40.2%), neurotropin (20.1%), mirogabalin (19.6%), duloxetine (15.3%), and tramadol (4.9%). Tohoku had a markedly higher neuropathic pain prescribing-per-surgery index (432.8 vs 282.5; P&lt;0.001; d=2.81), with Iwate (566.7), Aomori (519.3), and Akita (461.1) occupying the top three nationally (figure 1).</w:t>
      </w:r>
    </w:p>
    <w:p>
      <w:pPr>
        <w:spacing w:before="480" w:after="120"/>
        <w:jc w:val="center"/>
      </w:pPr>
      <w:r>
        <w:rPr>
          <w:color w:val="808080"/>
          <w:sz w:val="20"/>
        </w:rPr>
        <w:t>[Insert Figure 1 here]</w:t>
      </w:r>
    </w:p>
    <w:p>
      <w:pPr>
        <w:spacing w:before="120" w:after="240"/>
      </w:pPr>
      <w:r>
        <w:rPr>
          <w:b/>
          <w:sz w:val="20"/>
        </w:rPr>
        <w:t xml:space="preserve">Figure 1. </w:t>
      </w:r>
      <w:r>
        <w:rPr>
          <w:sz w:val="20"/>
        </w:rPr>
        <w:t>Outpatient neuropathic pain drug prescribing per surgery by prefecture (unadjusted). Tohoku prefectures (red) cluster at the high end. Dashed line = national mean.</w:t>
      </w:r>
    </w:p>
    <w:p>
      <w:pPr>
        <w:pStyle w:val="Heading2"/>
      </w:pPr>
      <w:r>
        <w:rPr>
          <w:rFonts w:ascii="Times New Roman" w:hAnsi="Times New Roman"/>
          <w:color w:val="000000"/>
        </w:rPr>
        <w:t>Confounder analysis and adjustment</w:t>
      </w:r>
    </w:p>
    <w:p>
      <w:r>
        <w:t>Neuropathic pain prescribing showed strong correlations with confounder disease proxies. Diabetes drug prescribing was the strongest correlate (r=0.87, P&lt;0.001), followed by anxiolytics (r=0.75), antidepressants (r=0.46), and herpes antivirals (r=0.19). These four confounders collectively explained 81.4% of between-prefecture variance in neuropathic pain prescribing (R²=0.814 in Model 2; figure 2).</w:t>
      </w:r>
    </w:p>
    <w:p>
      <w:pPr>
        <w:spacing w:before="480" w:after="120"/>
        <w:jc w:val="center"/>
      </w:pPr>
      <w:r>
        <w:rPr>
          <w:color w:val="808080"/>
          <w:sz w:val="20"/>
        </w:rPr>
        <w:t>[Insert Figure 2 here]</w:t>
      </w:r>
    </w:p>
    <w:p>
      <w:pPr>
        <w:spacing w:before="120" w:after="240"/>
      </w:pPr>
      <w:r>
        <w:rPr>
          <w:b/>
          <w:sz w:val="20"/>
        </w:rPr>
        <w:t xml:space="preserve">Figure 2. </w:t>
      </w:r>
      <w:r>
        <w:rPr>
          <w:sz w:val="20"/>
        </w:rPr>
        <w:t>Correlation between neuropathic pain prescribing and confounder disease proxies. Each dot represents one prefecture. Tohoku prefectures are marked with red borders. Diabetes drugs show the strongest correlation (r=0.87).</w:t>
      </w:r>
    </w:p>
    <w:p>
      <w:r>
        <w:t>After adjustment for all four confounders, the Tohoku effect was attenuated and became nonsignificant in Model 2 (β=32.6, P=0.15). This was consistent across specifications: Model 3 (core neuropathic drugs only; β=15.7, P=0.23), Model 4 (nerve blocks; P=0.86), and Model 5 (integrated; β=31.5, P=0.15; table 2).</w:t>
      </w:r>
    </w:p>
    <w:p>
      <w:pPr>
        <w:spacing w:before="280"/>
      </w:pPr>
      <w:r>
        <w:rPr>
          <w:b/>
          <w:sz w:val="20"/>
        </w:rPr>
        <w:t xml:space="preserve">Table 2. </w:t>
      </w:r>
      <w:r>
        <w:rPr>
          <w:sz w:val="20"/>
        </w:rPr>
        <w:t>Regression models for outpatient neuropathic pain prescribing with Tohoku indicator and confounder adjustment.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sz w:val="18"/>
              </w:rPr>
              <w:t>Model</w:t>
            </w:r>
          </w:p>
        </w:tc>
        <w:tc>
          <w:tcPr>
            <w:tcW w:type="dxa" w:w="1701"/>
          </w:tcPr>
          <w:p>
            <w:r>
              <w:rPr>
                <w:b/>
                <w:sz w:val="18"/>
              </w:rPr>
              <w:t>Tohoku β</w:t>
            </w:r>
          </w:p>
        </w:tc>
        <w:tc>
          <w:tcPr>
            <w:tcW w:type="dxa" w:w="1701"/>
          </w:tcPr>
          <w:p>
            <w:r>
              <w:rPr>
                <w:b/>
                <w:sz w:val="18"/>
              </w:rPr>
              <w:t>Tohoku P</w:t>
            </w:r>
          </w:p>
        </w:tc>
        <w:tc>
          <w:tcPr>
            <w:tcW w:type="dxa" w:w="1701"/>
          </w:tcPr>
          <w:p>
            <w:r>
              <w:rPr>
                <w:b/>
                <w:sz w:val="18"/>
              </w:rPr>
              <w:t>Fit</w:t>
            </w:r>
          </w:p>
        </w:tc>
        <w:tc>
          <w:tcPr>
            <w:tcW w:type="dxa" w:w="1701"/>
          </w:tcPr>
          <w:p>
            <w:r>
              <w:rPr>
                <w:b/>
                <w:sz w:val="18"/>
              </w:rPr>
              <w:t>Note</w:t>
            </w:r>
          </w:p>
        </w:tc>
      </w:tr>
      <w:tr>
        <w:tc>
          <w:tcPr>
            <w:tcW w:type="dxa" w:w="1701"/>
          </w:tcPr>
          <w:p>
            <w:r>
              <w:rPr>
                <w:sz w:val="18"/>
              </w:rPr>
              <w:t>Model 1 (unadjusted)</w:t>
            </w:r>
          </w:p>
        </w:tc>
        <w:tc>
          <w:tcPr>
            <w:tcW w:type="dxa" w:w="1701"/>
          </w:tcPr>
          <w:p>
            <w:r>
              <w:rPr>
                <w:sz w:val="18"/>
              </w:rPr>
              <w:t>—</w:t>
            </w:r>
          </w:p>
        </w:tc>
        <w:tc>
          <w:tcPr>
            <w:tcW w:type="dxa" w:w="1701"/>
          </w:tcPr>
          <w:p>
            <w:r>
              <w:rPr>
                <w:sz w:val="18"/>
              </w:rPr>
              <w:t>—</w:t>
            </w:r>
          </w:p>
        </w:tc>
        <w:tc>
          <w:tcPr>
            <w:tcW w:type="dxa" w:w="1701"/>
          </w:tcPr>
          <w:p>
            <w:r>
              <w:rPr>
                <w:sz w:val="18"/>
              </w:rPr>
              <w:t>d=2.81</w:t>
            </w:r>
          </w:p>
        </w:tc>
        <w:tc>
          <w:tcPr>
            <w:tcW w:type="dxa" w:w="1701"/>
          </w:tcPr>
          <w:p>
            <w:r>
              <w:rPr>
                <w:sz w:val="18"/>
              </w:rPr>
              <w:t>P&lt;0.001</w:t>
            </w:r>
          </w:p>
        </w:tc>
      </w:tr>
      <w:tr>
        <w:tc>
          <w:tcPr>
            <w:tcW w:type="dxa" w:w="1701"/>
          </w:tcPr>
          <w:p>
            <w:r>
              <w:rPr>
                <w:sz w:val="18"/>
              </w:rPr>
              <w:t>Model 2 (all confounders)</w:t>
            </w:r>
          </w:p>
        </w:tc>
        <w:tc>
          <w:tcPr>
            <w:tcW w:type="dxa" w:w="1701"/>
          </w:tcPr>
          <w:p>
            <w:r>
              <w:rPr>
                <w:sz w:val="18"/>
              </w:rPr>
              <w:t>32.6</w:t>
            </w:r>
          </w:p>
        </w:tc>
        <w:tc>
          <w:tcPr>
            <w:tcW w:type="dxa" w:w="1701"/>
          </w:tcPr>
          <w:p>
            <w:r>
              <w:rPr>
                <w:sz w:val="18"/>
              </w:rPr>
              <w:t>0.150</w:t>
            </w:r>
          </w:p>
        </w:tc>
        <w:tc>
          <w:tcPr>
            <w:tcW w:type="dxa" w:w="1701"/>
          </w:tcPr>
          <w:p>
            <w:r>
              <w:rPr>
                <w:sz w:val="18"/>
              </w:rPr>
              <w:t>R²=0.814</w:t>
            </w:r>
          </w:p>
        </w:tc>
        <w:tc>
          <w:tcPr>
            <w:tcW w:type="dxa" w:w="1701"/>
          </w:tcPr>
          <w:p>
            <w:r>
              <w:rPr>
                <w:sz w:val="18"/>
              </w:rPr>
            </w:r>
          </w:p>
        </w:tc>
      </w:tr>
      <w:tr>
        <w:tc>
          <w:tcPr>
            <w:tcW w:type="dxa" w:w="1701"/>
          </w:tcPr>
          <w:p>
            <w:r>
              <w:rPr>
                <w:sz w:val="18"/>
              </w:rPr>
              <w:t>Model 3 (core neuro)</w:t>
            </w:r>
          </w:p>
        </w:tc>
        <w:tc>
          <w:tcPr>
            <w:tcW w:type="dxa" w:w="1701"/>
          </w:tcPr>
          <w:p>
            <w:r>
              <w:rPr>
                <w:sz w:val="18"/>
              </w:rPr>
              <w:t>15.7</w:t>
            </w:r>
          </w:p>
        </w:tc>
        <w:tc>
          <w:tcPr>
            <w:tcW w:type="dxa" w:w="1701"/>
          </w:tcPr>
          <w:p>
            <w:r>
              <w:rPr>
                <w:sz w:val="18"/>
              </w:rPr>
              <w:t>0.229</w:t>
            </w:r>
          </w:p>
        </w:tc>
        <w:tc>
          <w:tcPr>
            <w:tcW w:type="dxa" w:w="1701"/>
          </w:tcPr>
          <w:p>
            <w:r>
              <w:rPr>
                <w:sz w:val="18"/>
              </w:rPr>
              <w:t>R²=0.811</w:t>
            </w:r>
          </w:p>
        </w:tc>
        <w:tc>
          <w:tcPr>
            <w:tcW w:type="dxa" w:w="1701"/>
          </w:tcPr>
          <w:p>
            <w:r>
              <w:rPr>
                <w:sz w:val="18"/>
              </w:rPr>
            </w:r>
          </w:p>
        </w:tc>
      </w:tr>
      <w:tr>
        <w:tc>
          <w:tcPr>
            <w:tcW w:type="dxa" w:w="1701"/>
          </w:tcPr>
          <w:p>
            <w:r>
              <w:rPr>
                <w:sz w:val="18"/>
              </w:rPr>
              <w:t>Model 4 (nerve blocks)</w:t>
            </w:r>
          </w:p>
        </w:tc>
        <w:tc>
          <w:tcPr>
            <w:tcW w:type="dxa" w:w="1701"/>
          </w:tcPr>
          <w:p>
            <w:r>
              <w:rPr>
                <w:sz w:val="18"/>
              </w:rPr>
              <w:t>0.1</w:t>
            </w:r>
          </w:p>
        </w:tc>
        <w:tc>
          <w:tcPr>
            <w:tcW w:type="dxa" w:w="1701"/>
          </w:tcPr>
          <w:p>
            <w:r>
              <w:rPr>
                <w:sz w:val="18"/>
              </w:rPr>
              <w:t>0.863</w:t>
            </w:r>
          </w:p>
        </w:tc>
        <w:tc>
          <w:tcPr>
            <w:tcW w:type="dxa" w:w="1701"/>
          </w:tcPr>
          <w:p>
            <w:r>
              <w:rPr>
                <w:sz w:val="18"/>
              </w:rPr>
              <w:t>R²=0.145</w:t>
            </w:r>
          </w:p>
        </w:tc>
        <w:tc>
          <w:tcPr>
            <w:tcW w:type="dxa" w:w="1701"/>
          </w:tcPr>
          <w:p>
            <w:r>
              <w:rPr>
                <w:sz w:val="18"/>
              </w:rPr>
            </w:r>
          </w:p>
        </w:tc>
      </w:tr>
      <w:tr>
        <w:tc>
          <w:tcPr>
            <w:tcW w:type="dxa" w:w="1701"/>
          </w:tcPr>
          <w:p>
            <w:r>
              <w:rPr>
                <w:sz w:val="18"/>
              </w:rPr>
              <w:t>Model 5 (integrated)</w:t>
            </w:r>
          </w:p>
        </w:tc>
        <w:tc>
          <w:tcPr>
            <w:tcW w:type="dxa" w:w="1701"/>
          </w:tcPr>
          <w:p>
            <w:r>
              <w:rPr>
                <w:sz w:val="18"/>
              </w:rPr>
              <w:t>31.5</w:t>
            </w:r>
          </w:p>
        </w:tc>
        <w:tc>
          <w:tcPr>
            <w:tcW w:type="dxa" w:w="1701"/>
          </w:tcPr>
          <w:p>
            <w:r>
              <w:rPr>
                <w:sz w:val="18"/>
              </w:rPr>
              <w:t>0.149</w:t>
            </w:r>
          </w:p>
        </w:tc>
        <w:tc>
          <w:tcPr>
            <w:tcW w:type="dxa" w:w="1701"/>
          </w:tcPr>
          <w:p>
            <w:r>
              <w:rPr>
                <w:sz w:val="18"/>
              </w:rPr>
              <w:t>R²=0.832</w:t>
            </w:r>
          </w:p>
        </w:tc>
        <w:tc>
          <w:tcPr>
            <w:tcW w:type="dxa" w:w="1701"/>
          </w:tcPr>
          <w:p>
            <w:r>
              <w:rPr>
                <w:sz w:val="18"/>
              </w:rPr>
            </w:r>
          </w:p>
        </w:tc>
      </w:tr>
    </w:tbl>
    <w:p/>
    <w:p>
      <w:r>
        <w:t>The adjusted CPSP index showed a dramatically different geographic pattern from the unadjusted data. The Tohoku mean shifted from markedly positive to a modest, nonsignificant excess (+12.4 vs -1.8; P=0.32; d=0.44; figure 3). Chugoku emerged as having the highest adjusted index, while Tokai had the lowest.</w:t>
      </w:r>
    </w:p>
    <w:p>
      <w:pPr>
        <w:spacing w:before="480" w:after="120"/>
        <w:jc w:val="center"/>
      </w:pPr>
      <w:r>
        <w:rPr>
          <w:color w:val="808080"/>
          <w:sz w:val="20"/>
        </w:rPr>
        <w:t>[Insert Figure 3 here]</w:t>
      </w:r>
    </w:p>
    <w:p>
      <w:pPr>
        <w:spacing w:before="120" w:after="240"/>
      </w:pPr>
      <w:r>
        <w:rPr>
          <w:b/>
          <w:sz w:val="20"/>
        </w:rPr>
        <w:t xml:space="preserve">Figure 3. </w:t>
      </w:r>
      <w:r>
        <w:rPr>
          <w:sz w:val="20"/>
        </w:rPr>
        <w:t>Regional comparison of neuropathic pain prescribing: (a) unadjusted and (b) after confounder adjustment. Tohoku (red) shifts from the highest region to mid-range after adjustment. Error bars = SD.</w:t>
      </w:r>
    </w:p>
    <w:p>
      <w:pPr>
        <w:pStyle w:val="Heading2"/>
      </w:pPr>
      <w:r>
        <w:rPr>
          <w:rFonts w:ascii="Times New Roman" w:hAnsi="Times New Roman"/>
          <w:color w:val="000000"/>
        </w:rPr>
        <w:t>Phase 1–Phase 2 integration</w:t>
      </w:r>
    </w:p>
    <w:p>
      <w:r>
        <w:t>Acute perioperative prescribing correlated positively with unadjusted neuropathic pain prescribing (r=0.38, P=0.008). After confounder adjustment, this correlation was attenuated (r=0.29, P=0.052). In Model 5, the acute pain index remained a significant predictor of chronic neuropathic pain prescribing (β=1.90, P=0.044), while the Tohoku effect remained nonsignificant (β=31.5, P=0.15). After adjustment, the Tohoku effect was attenuated by 84%.</w:t>
      </w:r>
    </w:p>
    <w:p>
      <w:pPr>
        <w:pStyle w:val="Heading2"/>
      </w:pPr>
      <w:r>
        <w:rPr>
          <w:rFonts w:ascii="Times New Roman" w:hAnsi="Times New Roman"/>
          <w:color w:val="000000"/>
        </w:rPr>
        <w:t>Age-sex standardised claim ratios</w:t>
      </w:r>
    </w:p>
    <w:p>
      <w:r>
        <w:t>After indirect age-sex standardisation, inpatient analgesic SCR ranged from 63.6 to 147.9 (2.33-fold variation), confirming that the prescribing heterogeneity was not attributable to differences in prefectural age-sex composition. Outpatient neuropathic pain drug SCR ranged from 74.7 to 152.0 (2.04-fold). Tohoku retained elevated neuropathic pain SCR (mean 126.3) relative to non-Tohoku prefectures (96.3), consistent with the crude analysis.</w:t>
      </w:r>
    </w:p>
    <w:p>
      <w:pPr>
        <w:pStyle w:val="Heading1"/>
      </w:pPr>
      <w:r>
        <w:rPr>
          <w:rFonts w:ascii="Times New Roman" w:hAnsi="Times New Roman"/>
          <w:color w:val="000000"/>
        </w:rPr>
        <w:t>Discussion</w:t>
      </w:r>
    </w:p>
    <w:p>
      <w:r>
        <w:t>This study is the first to map perioperative and chronic pain-related prescribing across all 47 prefectures of Japan, leveraging freely available NDB Open Data that capture virtually the entire insured population. The answer to the question posed in the title is no: cultural labels do not predict analgesic need. Three principal findings support this conclusion and carry implications for any clinician who prescribes analgesics.</w:t>
      </w:r>
    </w:p>
    <w:p>
      <w:pPr>
        <w:pStyle w:val="Heading2"/>
      </w:pPr>
      <w:r>
        <w:rPr>
          <w:rFonts w:ascii="Times New Roman" w:hAnsi="Times New Roman"/>
          <w:color w:val="000000"/>
        </w:rPr>
        <w:t>Within-country heterogeneity challenges cultural stereotypes</w:t>
      </w:r>
    </w:p>
    <w:p>
      <w:r>
        <w:t>Despite Japan’s well-documented cultural stoicism,</w:t>
      </w:r>
      <w:r>
        <w:rPr>
          <w:sz w:val="20"/>
          <w:vertAlign w:val="superscript"/>
        </w:rPr>
        <w:t>5,6</w:t>
      </w:r>
      <w:r>
        <w:t xml:space="preserve"> we found 1.97-fold variation in acute perioperative analgesic prescribing. This parallels Cohen and Nisbett’s finding that the US “culture of honour” produces regional behavioural differences within a single nation.</w:t>
      </w:r>
      <w:r>
        <w:rPr>
          <w:sz w:val="20"/>
          <w:vertAlign w:val="superscript"/>
        </w:rPr>
        <w:t>7</w:t>
      </w:r>
      <w:r>
        <w:t xml:space="preserve"> Japan’s pain culture is not monolithic; regional demographics, healthcare infrastructure, and clinical practices generate heterogeneity beneath the surface of a nationally shared cultural norm.</w:t>
      </w:r>
    </w:p>
    <w:p>
      <w:pPr>
        <w:pStyle w:val="Heading2"/>
      </w:pPr>
      <w:r>
        <w:rPr>
          <w:rFonts w:ascii="Times New Roman" w:hAnsi="Times New Roman"/>
          <w:color w:val="000000"/>
        </w:rPr>
        <w:t>Implications for clinical practice</w:t>
      </w:r>
    </w:p>
    <w:p>
      <w:r>
        <w:t>The 1.97-fold within-Japan variation has direct clinical relevance for any physician who writes an analgesic prescription—not only pain specialists but also surgeons, internists, and general practitioners. A large body of evidence demonstrates that cultural stereotypes influence clinician pain assessment and prescribing behaviour. Anderson et al showed that racial and ethnic minorities in the United States consistently receive less adequate pain management across acute, chronic, cancer, and palliative settings.</w:t>
      </w:r>
      <w:r>
        <w:rPr>
          <w:sz w:val="20"/>
          <w:vertAlign w:val="superscript"/>
        </w:rPr>
        <w:t>17</w:t>
      </w:r>
      <w:r>
        <w:t xml:space="preserve"> Campbell and Edwards identified that clinician expectations about a patient’s cultural pain behaviour can lead to systematic under- or over-treatment.</w:t>
      </w:r>
      <w:r>
        <w:rPr>
          <w:sz w:val="20"/>
          <w:vertAlign w:val="superscript"/>
        </w:rPr>
        <w:t>18</w:t>
      </w:r>
      <w:r>
        <w:t xml:space="preserve"> Rogger et al emphasised that cultural framing affects not only patient reporting but also how clinicians interpret and respond to pain cues.</w:t>
      </w:r>
      <w:r>
        <w:rPr>
          <w:sz w:val="20"/>
          <w:vertAlign w:val="superscript"/>
        </w:rPr>
        <w:t>2</w:t>
      </w:r>
      <w:r/>
    </w:p>
    <w:p>
      <w:r>
        <w:t>The broader lesson is that within-country heterogeneity in pain prescribing challenges the use of national cultural stereotypes in clinical practice—not only in Japan but in any country where cultural generalisations guide prescribing decisions. The nihonjinron discourse (theories of Japanese uniqueness) has long promoted the notion that Japanese people constitute a uniform population sharing a single set of behavioural norms.</w:t>
      </w:r>
      <w:r>
        <w:rPr>
          <w:sz w:val="20"/>
          <w:vertAlign w:val="superscript"/>
        </w:rPr>
        <w:t>19</w:t>
      </w:r>
      <w:r>
        <w:t xml:space="preserve"> Yet this “hegemony of homogeneity,” as Befu termed it, is an ideological construct rather than an empirical fact. Burgess showed that the “illusion” of homogeneous Japan has tangible consequences for social policy and public perception.</w:t>
      </w:r>
      <w:r>
        <w:rPr>
          <w:sz w:val="20"/>
          <w:vertAlign w:val="superscript"/>
        </w:rPr>
        <w:t>20</w:t>
      </w:r>
      <w:r>
        <w:t xml:space="preserve"> In the clinical context, the combination of two stereotypes—“Japanese are stoic” and “Japanese are homogeneous”—creates a doubly misleading assumption: that all Japanese patients will tolerate pain equally and require less analgesia. Our finding of 1.97-fold within-Japan variation directly refutes this assumption. If this degree of heterogeneity exists within a society widely regarded as culturally uniform, the same fragility of cultural labels likely applies to every other national-level pain stereotype.</w:t>
      </w:r>
    </w:p>
    <w:p>
      <w:r>
        <w:t>Put simply, there is no such entity as “the Japanese patient” whose pain behaviour can be predicted from nationality alone—there are only individual patients from 47 diverse prefectures, each with distinct demographic profiles, clinical environments, and pain-related prescribing cultures. The revised IASP definition describes pain as inherently subjective,</w:t>
      </w:r>
      <w:r>
        <w:rPr>
          <w:sz w:val="20"/>
          <w:vertAlign w:val="superscript"/>
        </w:rPr>
        <w:t>21</w:t>
      </w:r>
      <w:r>
        <w:t xml:space="preserve"> and no cultural label can substitute for direct measurement of a patient’s nociceptive state. Objective nociception monitoring, such as normalised pulse volume, may help standardise perioperative assessment regardless of cultural background.</w:t>
      </w:r>
      <w:r>
        <w:rPr>
          <w:sz w:val="20"/>
          <w:vertAlign w:val="superscript"/>
        </w:rPr>
        <w:t>22</w:t>
      </w:r>
      <w:r/>
    </w:p>
    <w:p>
      <w:pPr>
        <w:pStyle w:val="Heading2"/>
      </w:pPr>
      <w:r>
        <w:rPr>
          <w:rFonts w:ascii="Times New Roman" w:hAnsi="Times New Roman"/>
          <w:color w:val="000000"/>
        </w:rPr>
        <w:t>Confounders explain Tohoku’s apparent excess</w:t>
      </w:r>
    </w:p>
    <w:p>
      <w:r>
        <w:t>The most methodologically important finding is that the dramatic regional variation in neuropathic pain prescribing (unadjusted d=2.81 for Tohoku vs rest) was largely explained by confounding disease proxies. Diabetes drug prescribing alone correlated at r=0.87 with neuropathic pain prescribing, reflecting the known high prevalence of diabetic neuropathy requiring gabapentinoids. After adjustment, the Tohoku effect was attenuated by 84% and became nonsignificant. This has important implications for ecological pain research: studies using neuropathic pain drug prescribing as a population-level CPSP proxy must account for confounding diseases. Without such adjustment, regional differences in diabetes prevalence could be misinterpreted as differences in CPSP. The within-database confounder adjustment demonstrated here—using disease-specific drug proxies from the same data source—provides a replicable framework for other countries with national claims databases.</w:t>
      </w:r>
    </w:p>
    <w:p>
      <w:pPr>
        <w:pStyle w:val="Heading2"/>
      </w:pPr>
      <w:r>
        <w:rPr>
          <w:rFonts w:ascii="Times New Roman" w:hAnsi="Times New Roman"/>
          <w:color w:val="000000"/>
        </w:rPr>
        <w:t>A population-level acute–chronic pain continuum</w:t>
      </w:r>
    </w:p>
    <w:p>
      <w:r>
        <w:t>The positive correlation between Phase 1 (acute) and Phase 2 (chronic, adjusted) indices (r=0.29, P=0.052) suggests a modest link between regional acute pain management intensity and subsequent chronic pain-related prescribing. While ecological correlations cannot establish causation, this finding is consistent with individual-level evidence that the intensity of acute postoperative pain is a risk factor for CPSP.</w:t>
      </w:r>
      <w:r>
        <w:rPr>
          <w:sz w:val="20"/>
          <w:vertAlign w:val="superscript"/>
        </w:rPr>
        <w:t>23</w:t>
      </w:r>
      <w:r>
        <w:t xml:space="preserve"> The significant contribution of the acute pain index in Model 5 (β=1.90, P=0.044), even after confounder adjustment, supports the hypothesis that regional patterns of acute pain management have downstream consequences for chronic pain burden.</w:t>
      </w:r>
    </w:p>
    <w:p>
      <w:pPr>
        <w:pStyle w:val="Heading2"/>
      </w:pPr>
      <w:r>
        <w:rPr>
          <w:rFonts w:ascii="Times New Roman" w:hAnsi="Times New Roman"/>
          <w:color w:val="000000"/>
        </w:rPr>
        <w:t>Regional stigma in an era of mobility</w:t>
      </w:r>
    </w:p>
    <w:p>
      <w:r>
        <w:t>The premise of region-based stereotyping is increasingly untenable. A patient presenting in a Singapore hospital may have been born in Japan, raised in Australia, and working across Southeast Asia—rendering any assumption based on nationality meaningless. Medicine is an encounter between a clinician and an individual patient, not a cultural category. Individualised assessment provides the only reliable basis for analgesic decision-making in a mobile, multicultural world.</w:t>
      </w:r>
    </w:p>
    <w:p>
      <w:pPr>
        <w:pStyle w:val="Heading2"/>
      </w:pPr>
      <w:r>
        <w:rPr>
          <w:rFonts w:ascii="Times New Roman" w:hAnsi="Times New Roman"/>
          <w:color w:val="000000"/>
        </w:rPr>
        <w:t>Strengths and limitations</w:t>
      </w:r>
    </w:p>
    <w:p>
      <w:r>
        <w:t>Strengths of this study include the use of population-complete data covering all insurance-reimbursed healthcare in Japan, the novel integration of acute and chronic pain proxies within a single analytical framework, the transparent confounder-adjustment methodology, and the use of a perioperative design that neutralises healthcare access as a confounder (all Phase 1 patients are inpatients by definition).</w:t>
      </w:r>
    </w:p>
    <w:p>
      <w:r>
        <w:t>The main limitations are inherent to the ecological design. The unit of analysis is the prefecture, not the individual patient; ecological correlations may not reflect individual-level associations (ecological fallacy). NDB Open Data lack diagnosis codes, so the neuropathic pain drug proxy captures all indications, not CPSP specifically. Unmeasured confounders such as surgical case mix, physician density, and regional prescribing culture may contribute to residual variation.</w:t>
      </w:r>
    </w:p>
    <w:p>
      <w:pPr>
        <w:pStyle w:val="Heading2"/>
      </w:pPr>
      <w:r>
        <w:rPr>
          <w:rFonts w:ascii="Times New Roman" w:hAnsi="Times New Roman"/>
          <w:color w:val="000000"/>
        </w:rPr>
        <w:t>Conclusion</w:t>
      </w:r>
    </w:p>
    <w:p>
      <w:r>
        <w:t>Cultural labels do not predict analgesic need. Despite Japan’s culturally ingrained norm of pain endurance, perioperative and chronic pain-related prescribing varies up to 1.97-fold across prefectures. Any clinician who adjusts analgesic dosing based on the label “Japanese patient” risks both over- and under-treatment. Individualised pain assessment should replace culturally stereotyped assumptions.</w:t>
      </w:r>
    </w:p>
    <w:p/>
    <w:p>
      <w:pPr>
        <w:pStyle w:val="Heading1"/>
      </w:pPr>
      <w:r>
        <w:rPr>
          <w:rFonts w:ascii="Times New Roman" w:hAnsi="Times New Roman"/>
          <w:color w:val="000000"/>
        </w:rPr>
        <w:t>Contributors</w:t>
      </w:r>
    </w:p>
    <w:p>
      <w:r>
        <w:t>TO conceived and designed the study, obtained and verified the underlying data, performed all analyses, created visualisations, and wrote the manuscript. TO had full access to all data and is the guarantor.</w:t>
      </w:r>
    </w:p>
    <w:p/>
    <w:p>
      <w:pPr>
        <w:pStyle w:val="Heading1"/>
      </w:pPr>
      <w:r>
        <w:rPr>
          <w:rFonts w:ascii="Times New Roman" w:hAnsi="Times New Roman"/>
          <w:color w:val="000000"/>
        </w:rPr>
        <w:t>Funding</w:t>
      </w:r>
    </w:p>
    <w:p>
      <w:r>
        <w:t>None.</w:t>
      </w:r>
    </w:p>
    <w:p/>
    <w:p>
      <w:pPr>
        <w:pStyle w:val="Heading1"/>
      </w:pPr>
      <w:r>
        <w:rPr>
          <w:rFonts w:ascii="Times New Roman" w:hAnsi="Times New Roman"/>
          <w:color w:val="000000"/>
        </w:rPr>
        <w:t>Competing interests</w:t>
      </w:r>
    </w:p>
    <w:p>
      <w:r>
        <w:t>None declared.</w:t>
      </w:r>
    </w:p>
    <w:p/>
    <w:p>
      <w:pPr>
        <w:pStyle w:val="Heading1"/>
      </w:pPr>
      <w:r>
        <w:rPr>
          <w:rFonts w:ascii="Times New Roman" w:hAnsi="Times New Roman"/>
          <w:color w:val="000000"/>
        </w:rPr>
        <w:t>Ethics approval</w:t>
      </w:r>
    </w:p>
    <w:p>
      <w:r>
        <w:t>This study used only publicly available aggregate data from the NDB Open Data. Ethical approval was not required under Japan’s Ethical Guidelines for Medical and Biological Research Involving Human Subjects.</w:t>
      </w:r>
    </w:p>
    <w:p/>
    <w:p>
      <w:pPr>
        <w:pStyle w:val="Heading1"/>
      </w:pPr>
      <w:r>
        <w:rPr>
          <w:rFonts w:ascii="Times New Roman" w:hAnsi="Times New Roman"/>
          <w:color w:val="000000"/>
        </w:rPr>
        <w:t>Data availability statement</w:t>
      </w:r>
    </w:p>
    <w:p>
      <w:r>
        <w:t>The NDB Open Data used in this study are publicly available from the Ministry of Health, Labour and Welfare website (https://www.mhlw.go.jp/stf/seisakunitsuite/bunya/0000177221_00016.html). Analysis code is available at https://github.com/bougtoir/wip/tree/main/ndb-pain-regional-variation-japan.</w:t>
      </w:r>
    </w:p>
    <w:p/>
    <w:p>
      <w:pPr>
        <w:pStyle w:val="Heading1"/>
      </w:pPr>
      <w:r>
        <w:rPr>
          <w:rFonts w:ascii="Times New Roman" w:hAnsi="Times New Roman"/>
          <w:color w:val="000000"/>
        </w:rPr>
        <w:t>Acknowledgements</w:t>
      </w:r>
    </w:p>
    <w:p>
      <w:r>
        <w:t>The author thanks the Ministry of Health, Labour and Welfare for making the NDB Open Data publicly available. Parts of data processing and manuscript preparation were assisted by generative AI (Claude, Anthropic). The author takes full responsibility for the accuracy and content of the manuscript.</w:t>
      </w:r>
    </w:p>
    <w:p>
      <w:r>
        <w:br w:type="page"/>
      </w:r>
    </w:p>
    <w:p>
      <w:pPr>
        <w:pStyle w:val="Heading1"/>
      </w:pPr>
      <w:r>
        <w:rPr>
          <w:rFonts w:ascii="Times New Roman" w:hAnsi="Times New Roman"/>
          <w:color w:val="000000"/>
        </w:rPr>
        <w:t>References</w:t>
      </w:r>
    </w:p>
    <w:p>
      <w:r>
        <w:rPr>
          <w:b/>
        </w:rPr>
        <w:t xml:space="preserve">1 </w:t>
      </w:r>
      <w:r>
        <w:t>Callister LC. Cultural influences on pain perceptions and behaviors. Home Health Care Manag Pract 2003;15:207–11. doi:10.1177/1084822303015004003</w:t>
      </w:r>
    </w:p>
    <w:p>
      <w:r>
        <w:rPr>
          <w:b/>
        </w:rPr>
        <w:t xml:space="preserve">2 </w:t>
      </w:r>
      <w:r>
        <w:t>Rogger R, Bello C, Romero CS, et al. Cultural framing and the impact on acute pain and pain services. Curr Pain Headache Rep 2023;27:429–36. doi:10.1007/s11916-023-01134-3</w:t>
      </w:r>
    </w:p>
    <w:p>
      <w:r>
        <w:rPr>
          <w:b/>
        </w:rPr>
        <w:t xml:space="preserve">3 </w:t>
      </w:r>
      <w:r>
        <w:t>Zborowski M. People in Pain. San Francisco: Jossey-Bass, 1969.</w:t>
      </w:r>
    </w:p>
    <w:p>
      <w:r>
        <w:rPr>
          <w:b/>
        </w:rPr>
        <w:t xml:space="preserve">4 </w:t>
      </w:r>
      <w:r>
        <w:t>Okolo CA, Olorunsogo T, Babawarun O. Cultural variability in pain perception: a review of cross-cultural studies. Int J Sci Res Arch 2024;11:2550–6. doi:10.30574/ijsra.2024.11.1.0298</w:t>
      </w:r>
    </w:p>
    <w:p>
      <w:r>
        <w:rPr>
          <w:b/>
        </w:rPr>
        <w:t xml:space="preserve">5 </w:t>
      </w:r>
      <w:r>
        <w:t>Hobara M. Beliefs about appropriate pain behavior: cross-cultural and sex differences between Japanese and Euro-Americans. Eur J Pain 2005;9:389–93. doi:10.1016/j.ejpain.2004.09.006</w:t>
      </w:r>
    </w:p>
    <w:p>
      <w:r>
        <w:rPr>
          <w:b/>
        </w:rPr>
        <w:t xml:space="preserve">6 </w:t>
      </w:r>
      <w:r>
        <w:t>Feng Y, Herdman M, van Nooten F, et al. An exploration of differences between Japan and two European countries in the self-reporting and valuation of pain and discomfort on the EQ-5D. Qual Life Res 2017;26:2067–78. doi:10.1007/s11136-017-1541-7</w:t>
      </w:r>
    </w:p>
    <w:p>
      <w:r>
        <w:rPr>
          <w:b/>
        </w:rPr>
        <w:t xml:space="preserve">7 </w:t>
      </w:r>
      <w:r>
        <w:t>Cohen D, Nisbett RE, Bowdle BF, et al. Insult, aggression, and the southern culture of honor: an "experimental ethnography." J Pers Soc Psychol 1996;70:945–60. doi:10.1037/0022-3514.70.5.945</w:t>
      </w:r>
    </w:p>
    <w:p>
      <w:r>
        <w:rPr>
          <w:b/>
        </w:rPr>
        <w:t xml:space="preserve">8 </w:t>
      </w:r>
      <w:r>
        <w:t>Kumagai S. Media representations reproducing images of Tohoku: the Tohoku reconstruction corner in "Secret Kenmin SHOW." Kotoba 2020;41:21–38. [in Japanese]</w:t>
      </w:r>
    </w:p>
    <w:p>
      <w:r>
        <w:rPr>
          <w:b/>
        </w:rPr>
        <w:t xml:space="preserve">9 </w:t>
      </w:r>
      <w:r>
        <w:t>Takeda K, Yarimizu K. Regional differences in the pain expression uzuku. NINJAL Research Papers 2016;10:85–107. [in Japanese]</w:t>
      </w:r>
    </w:p>
    <w:p>
      <w:r>
        <w:rPr>
          <w:b/>
        </w:rPr>
        <w:t xml:space="preserve">10 </w:t>
      </w:r>
      <w:r>
        <w:t>Pfizer Japan Inc. 47-prefecture survey on chronic pain. https://www.pfizer.co.jp/pfizer/company/press/2017 (accessed 1 Feb 2025).</w:t>
      </w:r>
    </w:p>
    <w:p>
      <w:r>
        <w:rPr>
          <w:b/>
        </w:rPr>
        <w:t xml:space="preserve">11 </w:t>
      </w:r>
      <w:r>
        <w:t>Ministry of Health, Labour and Welfare. NDB Open Data, 10th edition. https://www.mhlw.go.jp/stf/seisakunitsuite/bunya/0000177221_00016.html (accessed 15 Jan 2025).</w:t>
      </w:r>
    </w:p>
    <w:p>
      <w:r>
        <w:rPr>
          <w:b/>
        </w:rPr>
        <w:t xml:space="preserve">12 </w:t>
      </w:r>
      <w:r>
        <w:t>Wakaizumi K, Tanaka C, Shinohara Y, et al. Geographical variation in high-impact chronic pain and psychological associations at the regional level: a multilevel analysis of a large-scale internet-based cross-sectional survey. Front Public Health 2024;12:1482177. doi:10.3389/fpubh.2024.1482177</w:t>
      </w:r>
    </w:p>
    <w:p>
      <w:r>
        <w:rPr>
          <w:b/>
        </w:rPr>
        <w:t xml:space="preserve">13 </w:t>
      </w:r>
      <w:r>
        <w:t>Matsuoka Y, Morishima T, Sato A, et al. Population-based claims study of regional and hospital function differences in opioid prescribing for cancer patients who died in hospital in Japan. Jpn J Clin Oncol 2025;55:hyaf149.</w:t>
      </w:r>
    </w:p>
    <w:p>
      <w:r>
        <w:rPr>
          <w:b/>
        </w:rPr>
        <w:t xml:space="preserve">14 </w:t>
      </w:r>
      <w:r>
        <w:t>Taira K, Mori T, Ishimaru M, et al. Regional inequality in dental care utilisation in Japan: an ecological study using the National Database of Health Insurance Claims. Lancet Reg Health West Pac 2021;12:100170. doi:10.1016/j.lanwpc.2021.100170</w:t>
      </w:r>
    </w:p>
    <w:p>
      <w:r>
        <w:rPr>
          <w:b/>
        </w:rPr>
        <w:t xml:space="preserve">15 </w:t>
      </w:r>
      <w:r>
        <w:t>von Elm E, Altman DG, Egger M, et al. The Strengthening the Reporting of Observational Studies in Epidemiology (STROBE) statement: guidelines for reporting observational studies. Lancet 2007;370:1453–7. doi:10.1016/S0140-6736(07)61602-X</w:t>
      </w:r>
    </w:p>
    <w:p>
      <w:r>
        <w:rPr>
          <w:b/>
        </w:rPr>
        <w:t xml:space="preserve">16 </w:t>
      </w:r>
      <w:r>
        <w:t>Benchimol EI, Smeeth L, Guttmann A, et al. The REporting of studies Conducted using Observational Routinely-collected health Data (RECORD) statement. PLoS Med 2015;12:e1001885. doi:10.1371/journal.pmed.1001885</w:t>
      </w:r>
    </w:p>
    <w:p>
      <w:r>
        <w:rPr>
          <w:b/>
        </w:rPr>
        <w:t xml:space="preserve">17 </w:t>
      </w:r>
      <w:r>
        <w:t>Anderson KO, Green CR, Payne R. Racial and ethnic disparities in pain: causes and consequences of unequal care. J Pain 2009;10:1187–204. doi:10.1016/j.jpain.2009.06.010</w:t>
      </w:r>
    </w:p>
    <w:p>
      <w:r>
        <w:rPr>
          <w:b/>
        </w:rPr>
        <w:t xml:space="preserve">18 </w:t>
      </w:r>
      <w:r>
        <w:t>Campbell CM, Edwards RR. Ethnic differences in pain and pain management. Pain Manag 2012;2:219–30. doi:10.2217/pmt.12.7</w:t>
      </w:r>
    </w:p>
    <w:p>
      <w:r>
        <w:rPr>
          <w:b/>
        </w:rPr>
        <w:t xml:space="preserve">19 </w:t>
      </w:r>
      <w:r>
        <w:t>Befu H. Hegemony of Homogeneity: An Anthropological Analysis of Nihonjinron. Melbourne: Trans Pacific Press, 2001.</w:t>
      </w:r>
    </w:p>
    <w:p>
      <w:r>
        <w:rPr>
          <w:b/>
        </w:rPr>
        <w:t xml:space="preserve">20 </w:t>
      </w:r>
      <w:r>
        <w:t>Burgess C. The "illusion" of homogeneous Japan and national character: discourse as a tool to transcend the "myth" vs. "reality" binary. Asia Pac J 2010;8(9):1–22.</w:t>
      </w:r>
    </w:p>
    <w:p>
      <w:r>
        <w:rPr>
          <w:b/>
        </w:rPr>
        <w:t xml:space="preserve">21 </w:t>
      </w:r>
      <w:r>
        <w:t>Raja SN, Carr DB, Cohen M, et al. The revised International Association for the Study of Pain definition of pain: concepts, challenges, and compromises. Pain 2020;161:1976–82. doi:10.1097/j.pain.0000000000001939</w:t>
      </w:r>
    </w:p>
    <w:p>
      <w:r>
        <w:rPr>
          <w:b/>
        </w:rPr>
        <w:t xml:space="preserve">22 </w:t>
      </w:r>
      <w:r>
        <w:t>Onishi T, Onishi Y. Normalized pulse volume as a superior predictor of respiration recovery and quantification of nociception anti-nociception balance compared to opioid effect site concentration: a prospective, observational study. F1000Research 2024;13:233. doi:10.12688/f1000research.147085.2</w:t>
      </w:r>
    </w:p>
    <w:p>
      <w:r>
        <w:rPr>
          <w:b/>
        </w:rPr>
        <w:t xml:space="preserve">23 </w:t>
      </w:r>
      <w:r>
        <w:t>Kehlet H, Jensen TS, Woolf CJ. Persistent postsurgical pain: risk factors and prevention. Lancet 2006;367:1618–25. doi:10.1016/S0140-6736(06)68700-X</w:t>
      </w:r>
    </w:p>
    <w:p>
      <w:r>
        <w:br w:type="page"/>
      </w:r>
    </w:p>
    <w:p>
      <w:pPr>
        <w:pStyle w:val="Heading1"/>
      </w:pPr>
      <w:r>
        <w:rPr>
          <w:rFonts w:ascii="Times New Roman" w:hAnsi="Times New Roman"/>
          <w:color w:val="000000"/>
        </w:rPr>
        <w:t>Figure legends</w:t>
      </w:r>
    </w:p>
    <w:p>
      <w:r>
        <w:rPr>
          <w:b/>
          <w:sz w:val="22"/>
        </w:rPr>
        <w:t xml:space="preserve">Figure 1. </w:t>
      </w:r>
      <w:r>
        <w:rPr>
          <w:sz w:val="22"/>
        </w:rPr>
        <w:t>Outpatient neuropathic pain drug prescribing per surgery by prefecture (unadjusted). Tohoku prefectures (red) cluster at the high end. Dashed line = national mean.</w:t>
      </w:r>
    </w:p>
    <w:p>
      <w:r>
        <w:rPr>
          <w:b/>
          <w:sz w:val="22"/>
        </w:rPr>
        <w:t xml:space="preserve">Figure 2. </w:t>
      </w:r>
      <w:r>
        <w:rPr>
          <w:sz w:val="22"/>
        </w:rPr>
        <w:t>Correlation between neuropathic pain prescribing and confounder disease proxies. Each dot represents one prefecture. Tohoku prefectures are marked with red borders. Diabetes drugs show the strongest correlation (r=0.87).</w:t>
      </w:r>
    </w:p>
    <w:p>
      <w:r>
        <w:rPr>
          <w:b/>
          <w:sz w:val="22"/>
        </w:rPr>
        <w:t xml:space="preserve">Figure 3. </w:t>
      </w:r>
      <w:r>
        <w:rPr>
          <w:sz w:val="22"/>
        </w:rPr>
        <w:t>Regional comparison of neuropathic pain prescribing: (a) unadjusted and (b) after confounder adjustment. Tohoku (red) shifts from the highest region to mid-range after adjustment. Error bars = SD.</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