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1. </w:t>
      </w:r>
      <w:r>
        <w:t>Regional summary of inpatient analgesic prescribing per surgery across nine regional blocks (NDB Open Data, April 2023–March 2024). Values are analgesic-per-surgery index (mean ± SD). Kruskal–Wallis P&lt;0·001.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 (prefectures)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± SD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</w:t>
            </w:r>
          </w:p>
        </w:tc>
      </w:tr>
      <w:tr>
        <w:tc>
          <w:tcPr>
            <w:tcW w:type="dxa" w:w="2160"/>
          </w:tcPr>
          <w:p>
            <w:r>
              <w:t>Hokkaido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46.12</w:t>
            </w:r>
          </w:p>
        </w:tc>
        <w:tc>
          <w:tcPr>
            <w:tcW w:type="dxa" w:w="2160"/>
          </w:tcPr>
          <w:p>
            <w:r>
              <w:t>46.12–46.12</w:t>
            </w:r>
          </w:p>
        </w:tc>
      </w:tr>
      <w:tr>
        <w:tc>
          <w:tcPr>
            <w:tcW w:type="dxa" w:w="2160"/>
          </w:tcPr>
          <w:p>
            <w:r>
              <w:t>Tohoku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39.97 ± 3.53</w:t>
            </w:r>
          </w:p>
        </w:tc>
        <w:tc>
          <w:tcPr>
            <w:tcW w:type="dxa" w:w="2160"/>
          </w:tcPr>
          <w:p>
            <w:r>
              <w:t>35.18–44.51</w:t>
            </w:r>
          </w:p>
        </w:tc>
      </w:tr>
      <w:tr>
        <w:tc>
          <w:tcPr>
            <w:tcW w:type="dxa" w:w="2160"/>
          </w:tcPr>
          <w:p>
            <w:r>
              <w:t>Kanto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33.00 ± 2.09</w:t>
            </w:r>
          </w:p>
        </w:tc>
        <w:tc>
          <w:tcPr>
            <w:tcW w:type="dxa" w:w="2160"/>
          </w:tcPr>
          <w:p>
            <w:r>
              <w:t>29.82–35.36</w:t>
            </w:r>
          </w:p>
        </w:tc>
      </w:tr>
      <w:tr>
        <w:tc>
          <w:tcPr>
            <w:tcW w:type="dxa" w:w="2160"/>
          </w:tcPr>
          <w:p>
            <w:r>
              <w:t>Hokuriku-Koshinetsu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35.38 ± 3.54</w:t>
            </w:r>
          </w:p>
        </w:tc>
        <w:tc>
          <w:tcPr>
            <w:tcW w:type="dxa" w:w="2160"/>
          </w:tcPr>
          <w:p>
            <w:r>
              <w:t>31.17–40.04</w:t>
            </w:r>
          </w:p>
        </w:tc>
      </w:tr>
      <w:tr>
        <w:tc>
          <w:tcPr>
            <w:tcW w:type="dxa" w:w="2160"/>
          </w:tcPr>
          <w:p>
            <w:r>
              <w:t>Tokai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27.62 ± 2.18</w:t>
            </w:r>
          </w:p>
        </w:tc>
        <w:tc>
          <w:tcPr>
            <w:tcW w:type="dxa" w:w="2160"/>
          </w:tcPr>
          <w:p>
            <w:r>
              <w:t>25.20–30.07</w:t>
            </w:r>
          </w:p>
        </w:tc>
      </w:tr>
      <w:tr>
        <w:tc>
          <w:tcPr>
            <w:tcW w:type="dxa" w:w="2160"/>
          </w:tcPr>
          <w:p>
            <w:r>
              <w:t>Kinki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30.02 ± 2.03</w:t>
            </w:r>
          </w:p>
        </w:tc>
        <w:tc>
          <w:tcPr>
            <w:tcW w:type="dxa" w:w="2160"/>
          </w:tcPr>
          <w:p>
            <w:r>
              <w:t>27.92–32.78</w:t>
            </w:r>
          </w:p>
        </w:tc>
      </w:tr>
      <w:tr>
        <w:tc>
          <w:tcPr>
            <w:tcW w:type="dxa" w:w="2160"/>
          </w:tcPr>
          <w:p>
            <w:r>
              <w:t>Chugoku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35.73 ± 4.18</w:t>
            </w:r>
          </w:p>
        </w:tc>
        <w:tc>
          <w:tcPr>
            <w:tcW w:type="dxa" w:w="2160"/>
          </w:tcPr>
          <w:p>
            <w:r>
              <w:t>30.99–40.19</w:t>
            </w:r>
          </w:p>
        </w:tc>
      </w:tr>
      <w:tr>
        <w:tc>
          <w:tcPr>
            <w:tcW w:type="dxa" w:w="2160"/>
          </w:tcPr>
          <w:p>
            <w:r>
              <w:t>Shikoku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36.33 ± 3.27</w:t>
            </w:r>
          </w:p>
        </w:tc>
        <w:tc>
          <w:tcPr>
            <w:tcW w:type="dxa" w:w="2160"/>
          </w:tcPr>
          <w:p>
            <w:r>
              <w:t>33.49–41.02</w:t>
            </w:r>
          </w:p>
        </w:tc>
      </w:tr>
      <w:tr>
        <w:tc>
          <w:tcPr>
            <w:tcW w:type="dxa" w:w="2160"/>
          </w:tcPr>
          <w:p>
            <w:r>
              <w:t>Kyushu-Okinawa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42.26 ± 4.33</w:t>
            </w:r>
          </w:p>
        </w:tc>
        <w:tc>
          <w:tcPr>
            <w:tcW w:type="dxa" w:w="2160"/>
          </w:tcPr>
          <w:p>
            <w:r>
              <w:t>35.81–49.75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National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35.78 ± 5.69</w:t>
            </w:r>
          </w:p>
        </w:tc>
        <w:tc>
          <w:tcPr>
            <w:tcW w:type="dxa" w:w="2160"/>
          </w:tcPr>
          <w:p>
            <w:r>
              <w:t>25.20–49.75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